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CC4CC30" w14:textId="77777777" w:rsidR="00CE0A8A" w:rsidRPr="003F6232" w:rsidRDefault="00F61D37" w:rsidP="009316B4">
      <w:pPr>
        <w:snapToGrid w:val="0"/>
        <w:ind w:right="756"/>
        <w:jc w:val="center"/>
        <w:rPr>
          <w:rFonts w:ascii="Times New Roman" w:hAnsi="Times New Roman" w:cs="Times New Roman"/>
          <w:b/>
          <w:color w:val="000000" w:themeColor="text1"/>
          <w:sz w:val="28"/>
        </w:rPr>
      </w:pPr>
      <w:r w:rsidRPr="003F6232">
        <w:rPr>
          <w:rFonts w:ascii="Times New Roman" w:hAnsi="Times New Roman" w:cs="Times New Roman"/>
          <w:b/>
          <w:bCs/>
          <w:color w:val="000000" w:themeColor="text1"/>
          <w:sz w:val="28"/>
        </w:rPr>
        <w:t>國立中興大學延攬國際頂尖人才遴聘辦法</w:t>
      </w:r>
    </w:p>
    <w:p w14:paraId="06028736" w14:textId="338B7927" w:rsidR="00F61D37" w:rsidRPr="003F6232" w:rsidRDefault="00CE0A8A" w:rsidP="009316B4">
      <w:pPr>
        <w:snapToGrid w:val="0"/>
        <w:ind w:right="756"/>
        <w:jc w:val="center"/>
        <w:rPr>
          <w:rFonts w:ascii="Times New Roman" w:hAnsi="Times New Roman" w:cs="Times New Roman"/>
          <w:b/>
          <w:color w:val="000000" w:themeColor="text1"/>
          <w:sz w:val="28"/>
        </w:rPr>
      </w:pPr>
      <w:r w:rsidRPr="003F6232">
        <w:rPr>
          <w:rFonts w:ascii="Times New Roman" w:hAnsi="Times New Roman" w:cs="Times New Roman"/>
          <w:b/>
          <w:bCs/>
          <w:color w:val="000000" w:themeColor="text1"/>
          <w:sz w:val="28"/>
        </w:rPr>
        <w:t>National Chung Hsing University Regulations for the Recruitment and Appointment of Top Global Talent</w:t>
      </w:r>
    </w:p>
    <w:p w14:paraId="2A570D45" w14:textId="77777777" w:rsidR="00A173F9" w:rsidRPr="003F6232" w:rsidRDefault="00A173F9" w:rsidP="009316B4">
      <w:pPr>
        <w:tabs>
          <w:tab w:val="right" w:pos="1673"/>
        </w:tabs>
        <w:snapToGrid w:val="0"/>
        <w:ind w:left="1701" w:right="756" w:hanging="1701"/>
        <w:jc w:val="right"/>
        <w:rPr>
          <w:rFonts w:ascii="Times New Roman" w:hAnsi="Times New Roman" w:cs="Times New Roman"/>
          <w:color w:val="000000" w:themeColor="text1"/>
        </w:rPr>
      </w:pPr>
    </w:p>
    <w:p w14:paraId="1F9BB0D7" w14:textId="77777777" w:rsidR="00CE0A8A" w:rsidRPr="003F6232" w:rsidRDefault="00B21D20" w:rsidP="009316B4">
      <w:pPr>
        <w:tabs>
          <w:tab w:val="right" w:pos="1673"/>
        </w:tabs>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 xml:space="preserve">107 </w:t>
      </w:r>
      <w:r w:rsidRPr="003F6232">
        <w:rPr>
          <w:rFonts w:ascii="Times New Roman" w:hAnsi="Times New Roman" w:cs="Times New Roman"/>
          <w:color w:val="000000" w:themeColor="text1"/>
        </w:rPr>
        <w:t>年</w:t>
      </w:r>
      <w:r w:rsidRPr="003F6232">
        <w:rPr>
          <w:rFonts w:ascii="Times New Roman" w:hAnsi="Times New Roman" w:cs="Times New Roman"/>
          <w:color w:val="000000" w:themeColor="text1"/>
        </w:rPr>
        <w:t xml:space="preserve"> 4 </w:t>
      </w:r>
      <w:r w:rsidRPr="003F6232">
        <w:rPr>
          <w:rFonts w:ascii="Times New Roman" w:hAnsi="Times New Roman" w:cs="Times New Roman"/>
          <w:color w:val="000000" w:themeColor="text1"/>
        </w:rPr>
        <w:t>月</w:t>
      </w:r>
      <w:r w:rsidRPr="003F6232">
        <w:rPr>
          <w:rFonts w:ascii="Times New Roman" w:hAnsi="Times New Roman" w:cs="Times New Roman"/>
          <w:color w:val="000000" w:themeColor="text1"/>
        </w:rPr>
        <w:t xml:space="preserve"> 17 </w:t>
      </w:r>
      <w:r w:rsidRPr="003F6232">
        <w:rPr>
          <w:rFonts w:ascii="Times New Roman" w:hAnsi="Times New Roman" w:cs="Times New Roman"/>
          <w:color w:val="000000" w:themeColor="text1"/>
        </w:rPr>
        <w:t>日第</w:t>
      </w:r>
      <w:r w:rsidRPr="003F6232">
        <w:rPr>
          <w:rFonts w:ascii="Times New Roman" w:hAnsi="Times New Roman" w:cs="Times New Roman"/>
          <w:color w:val="000000" w:themeColor="text1"/>
        </w:rPr>
        <w:t xml:space="preserve"> 80 </w:t>
      </w:r>
      <w:r w:rsidRPr="003F6232">
        <w:rPr>
          <w:rFonts w:ascii="Times New Roman" w:hAnsi="Times New Roman" w:cs="Times New Roman"/>
          <w:color w:val="000000" w:themeColor="text1"/>
        </w:rPr>
        <w:t>次校務會議訂定</w:t>
      </w:r>
    </w:p>
    <w:p w14:paraId="7DA50809" w14:textId="1CA6400A" w:rsidR="00B21D20" w:rsidRPr="003F6232" w:rsidRDefault="00CE0A8A" w:rsidP="009316B4">
      <w:pPr>
        <w:tabs>
          <w:tab w:val="right" w:pos="1673"/>
        </w:tabs>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April 17, 2018</w:t>
      </w:r>
      <w:r w:rsid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Formulated at the 80th University Council meeting</w:t>
      </w:r>
    </w:p>
    <w:p w14:paraId="13E6523E" w14:textId="77777777" w:rsidR="00CE0A8A" w:rsidRPr="003F6232" w:rsidRDefault="00B21D20" w:rsidP="009316B4">
      <w:pPr>
        <w:tabs>
          <w:tab w:val="right" w:pos="1673"/>
        </w:tabs>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 xml:space="preserve">108 </w:t>
      </w:r>
      <w:r w:rsidRPr="003F6232">
        <w:rPr>
          <w:rFonts w:ascii="Times New Roman" w:hAnsi="Times New Roman" w:cs="Times New Roman"/>
          <w:color w:val="000000" w:themeColor="text1"/>
        </w:rPr>
        <w:t>年</w:t>
      </w:r>
      <w:r w:rsidRPr="003F6232">
        <w:rPr>
          <w:rFonts w:ascii="Times New Roman" w:hAnsi="Times New Roman" w:cs="Times New Roman"/>
          <w:color w:val="000000" w:themeColor="text1"/>
        </w:rPr>
        <w:t xml:space="preserve"> 5 </w:t>
      </w:r>
      <w:r w:rsidRPr="003F6232">
        <w:rPr>
          <w:rFonts w:ascii="Times New Roman" w:hAnsi="Times New Roman" w:cs="Times New Roman"/>
          <w:color w:val="000000" w:themeColor="text1"/>
        </w:rPr>
        <w:t>月</w:t>
      </w:r>
      <w:r w:rsidRPr="003F6232">
        <w:rPr>
          <w:rFonts w:ascii="Times New Roman" w:hAnsi="Times New Roman" w:cs="Times New Roman"/>
          <w:color w:val="000000" w:themeColor="text1"/>
        </w:rPr>
        <w:t xml:space="preserve"> 28 </w:t>
      </w:r>
      <w:r w:rsidRPr="003F6232">
        <w:rPr>
          <w:rFonts w:ascii="Times New Roman" w:hAnsi="Times New Roman" w:cs="Times New Roman"/>
          <w:color w:val="000000" w:themeColor="text1"/>
        </w:rPr>
        <w:t>日第</w:t>
      </w:r>
      <w:r w:rsidRPr="003F6232">
        <w:rPr>
          <w:rFonts w:ascii="Times New Roman" w:hAnsi="Times New Roman" w:cs="Times New Roman"/>
          <w:color w:val="000000" w:themeColor="text1"/>
        </w:rPr>
        <w:t xml:space="preserve"> 85 </w:t>
      </w:r>
      <w:r w:rsidRPr="003F6232">
        <w:rPr>
          <w:rFonts w:ascii="Times New Roman" w:hAnsi="Times New Roman" w:cs="Times New Roman"/>
          <w:color w:val="000000" w:themeColor="text1"/>
        </w:rPr>
        <w:t>次校務會議修正</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第</w:t>
      </w:r>
      <w:r w:rsidRPr="003F6232">
        <w:rPr>
          <w:rFonts w:ascii="Times New Roman" w:hAnsi="Times New Roman" w:cs="Times New Roman"/>
          <w:color w:val="000000" w:themeColor="text1"/>
        </w:rPr>
        <w:t xml:space="preserve"> 1~4 </w:t>
      </w:r>
      <w:r w:rsidRPr="003F6232">
        <w:rPr>
          <w:rFonts w:ascii="Times New Roman" w:hAnsi="Times New Roman" w:cs="Times New Roman"/>
          <w:color w:val="000000" w:themeColor="text1"/>
        </w:rPr>
        <w:t>條</w:t>
      </w:r>
      <w:r w:rsidRPr="003F6232">
        <w:rPr>
          <w:rFonts w:ascii="Times New Roman" w:hAnsi="Times New Roman" w:cs="Times New Roman"/>
          <w:color w:val="000000" w:themeColor="text1"/>
        </w:rPr>
        <w:t>)</w:t>
      </w:r>
    </w:p>
    <w:p w14:paraId="24A9F0E0" w14:textId="30F37C8D" w:rsidR="00B21D20" w:rsidRPr="003F6232" w:rsidRDefault="00CE0A8A" w:rsidP="009316B4">
      <w:pPr>
        <w:tabs>
          <w:tab w:val="right" w:pos="1673"/>
        </w:tabs>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May 28, 2019</w:t>
      </w:r>
      <w:r w:rsid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ab/>
        <w:t>(Articles 1 through 4) amended at the 85th University Council meeting</w:t>
      </w:r>
    </w:p>
    <w:p w14:paraId="269BD347" w14:textId="77777777" w:rsidR="00CE0A8A" w:rsidRPr="003F6232" w:rsidRDefault="00B21D20" w:rsidP="009316B4">
      <w:pPr>
        <w:tabs>
          <w:tab w:val="right" w:pos="1673"/>
        </w:tabs>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 xml:space="preserve">109 </w:t>
      </w:r>
      <w:r w:rsidRPr="003F6232">
        <w:rPr>
          <w:rFonts w:ascii="Times New Roman" w:hAnsi="Times New Roman" w:cs="Times New Roman"/>
          <w:color w:val="000000" w:themeColor="text1"/>
        </w:rPr>
        <w:t>年</w:t>
      </w:r>
      <w:r w:rsidRPr="003F6232">
        <w:rPr>
          <w:rFonts w:ascii="Times New Roman" w:hAnsi="Times New Roman" w:cs="Times New Roman"/>
          <w:color w:val="000000" w:themeColor="text1"/>
        </w:rPr>
        <w:t xml:space="preserve"> 10 </w:t>
      </w:r>
      <w:r w:rsidRPr="003F6232">
        <w:rPr>
          <w:rFonts w:ascii="Times New Roman" w:hAnsi="Times New Roman" w:cs="Times New Roman"/>
          <w:color w:val="000000" w:themeColor="text1"/>
        </w:rPr>
        <w:t>月</w:t>
      </w:r>
      <w:r w:rsidRPr="003F6232">
        <w:rPr>
          <w:rFonts w:ascii="Times New Roman" w:hAnsi="Times New Roman" w:cs="Times New Roman"/>
          <w:color w:val="000000" w:themeColor="text1"/>
        </w:rPr>
        <w:t xml:space="preserve"> 23 </w:t>
      </w:r>
      <w:r w:rsidRPr="003F6232">
        <w:rPr>
          <w:rFonts w:ascii="Times New Roman" w:hAnsi="Times New Roman" w:cs="Times New Roman"/>
          <w:color w:val="000000" w:themeColor="text1"/>
        </w:rPr>
        <w:t>日第</w:t>
      </w:r>
      <w:r w:rsidRPr="003F6232">
        <w:rPr>
          <w:rFonts w:ascii="Times New Roman" w:hAnsi="Times New Roman" w:cs="Times New Roman"/>
          <w:color w:val="000000" w:themeColor="text1"/>
        </w:rPr>
        <w:t xml:space="preserve"> 90 </w:t>
      </w:r>
      <w:r w:rsidRPr="003F6232">
        <w:rPr>
          <w:rFonts w:ascii="Times New Roman" w:hAnsi="Times New Roman" w:cs="Times New Roman"/>
          <w:color w:val="000000" w:themeColor="text1"/>
        </w:rPr>
        <w:t>次校務會議修正</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第</w:t>
      </w:r>
      <w:r w:rsidRPr="003F6232">
        <w:rPr>
          <w:rFonts w:ascii="Times New Roman" w:hAnsi="Times New Roman" w:cs="Times New Roman"/>
          <w:color w:val="000000" w:themeColor="text1"/>
        </w:rPr>
        <w:t xml:space="preserve"> 2 </w:t>
      </w:r>
      <w:r w:rsidRPr="003F6232">
        <w:rPr>
          <w:rFonts w:ascii="Times New Roman" w:hAnsi="Times New Roman" w:cs="Times New Roman"/>
          <w:color w:val="000000" w:themeColor="text1"/>
        </w:rPr>
        <w:t>條</w:t>
      </w:r>
      <w:r w:rsidRPr="003F6232">
        <w:rPr>
          <w:rFonts w:ascii="Times New Roman" w:hAnsi="Times New Roman" w:cs="Times New Roman"/>
          <w:color w:val="000000" w:themeColor="text1"/>
        </w:rPr>
        <w:t>)</w:t>
      </w:r>
    </w:p>
    <w:p w14:paraId="1704F70A" w14:textId="3581B815" w:rsidR="00B21D20" w:rsidRPr="003F6232" w:rsidRDefault="00CE0A8A" w:rsidP="009316B4">
      <w:pPr>
        <w:snapToGrid w:val="0"/>
        <w:ind w:left="1701" w:right="756" w:hanging="1701"/>
        <w:jc w:val="right"/>
        <w:rPr>
          <w:rFonts w:ascii="Times New Roman" w:hAnsi="Times New Roman" w:cs="Times New Roman"/>
          <w:color w:val="000000" w:themeColor="text1"/>
        </w:rPr>
      </w:pPr>
      <w:r w:rsidRPr="003F6232">
        <w:rPr>
          <w:rFonts w:ascii="Times New Roman" w:hAnsi="Times New Roman" w:cs="Times New Roman"/>
          <w:color w:val="000000" w:themeColor="text1"/>
        </w:rPr>
        <w:t>October 23, 2020</w:t>
      </w:r>
      <w:r w:rsid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(Article 2) amended at the 90th University Council meeting</w:t>
      </w:r>
    </w:p>
    <w:p w14:paraId="53CD3672" w14:textId="77777777" w:rsidR="00D02AB0" w:rsidRPr="003F6232" w:rsidRDefault="00D02AB0" w:rsidP="009316B4">
      <w:pPr>
        <w:pStyle w:val="a3"/>
        <w:snapToGrid w:val="0"/>
        <w:ind w:left="1134" w:right="754" w:hanging="1134"/>
        <w:rPr>
          <w:rFonts w:ascii="Times New Roman" w:hAnsi="Times New Roman" w:cs="Times New Roman"/>
          <w:color w:val="000000" w:themeColor="text1"/>
        </w:rPr>
      </w:pPr>
    </w:p>
    <w:p w14:paraId="678C4F09" w14:textId="77777777" w:rsidR="00CE0A8A" w:rsidRPr="003F6232" w:rsidRDefault="00B21D20" w:rsidP="009316B4">
      <w:pPr>
        <w:pStyle w:val="a3"/>
        <w:snapToGrid w:val="0"/>
        <w:ind w:left="1134" w:right="754" w:hanging="1134"/>
        <w:rPr>
          <w:rFonts w:ascii="Times New Roman" w:hAnsi="Times New Roman" w:cs="Times New Roman"/>
          <w:color w:val="000000" w:themeColor="text1"/>
        </w:rPr>
      </w:pPr>
      <w:r w:rsidRPr="003F6232">
        <w:rPr>
          <w:rFonts w:ascii="Times New Roman" w:hAnsi="Times New Roman" w:cs="Times New Roman"/>
          <w:color w:val="000000" w:themeColor="text1"/>
        </w:rPr>
        <w:t>第一條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國立中興大學（以下簡稱本校）為延攬國際頂尖人才，藉由提供符合國際競爭力之薪資待遇，以吸引國際人才至本校任教，提升本校國際影響力，依據</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「教育部補助大專校院延攬國際頂尖人才作業要點」，特訂定本辦法。</w:t>
      </w:r>
    </w:p>
    <w:p w14:paraId="5711D373" w14:textId="42E1EBF5" w:rsidR="00376A7B" w:rsidRPr="003F6232" w:rsidRDefault="009316B4" w:rsidP="009316B4">
      <w:pPr>
        <w:pStyle w:val="a3"/>
        <w:snapToGrid w:val="0"/>
        <w:ind w:left="1134" w:right="754"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1</w:t>
      </w:r>
      <w:r w:rsidRPr="003F6232">
        <w:rPr>
          <w:rFonts w:ascii="Times New Roman" w:hAnsi="Times New Roman" w:cs="Times New Roman"/>
          <w:color w:val="000000" w:themeColor="text1"/>
        </w:rPr>
        <w:tab/>
        <w:t>National Chung Hsing University (hereinafter referred to as “the University”) has formulated these Regulations in accordance with the Ministry of Education’s Directives for the Subsidization of Universities and Colleges in Recruiting Top Global Talent to recruit and attract top global talent to teach at the University by offering internationally competitive compensation packages and to enhance the influence of the University on a global scale.</w:t>
      </w:r>
    </w:p>
    <w:p w14:paraId="66AA75AB" w14:textId="77777777" w:rsidR="00B21D20" w:rsidRPr="003F6232" w:rsidRDefault="00B21D20" w:rsidP="009316B4">
      <w:pPr>
        <w:pStyle w:val="a3"/>
        <w:snapToGrid w:val="0"/>
        <w:ind w:left="1134" w:right="754" w:hanging="1134"/>
        <w:rPr>
          <w:rFonts w:ascii="Times New Roman" w:hAnsi="Times New Roman" w:cs="Times New Roman"/>
          <w:color w:val="000000" w:themeColor="text1"/>
        </w:rPr>
      </w:pPr>
    </w:p>
    <w:p w14:paraId="49ADB956" w14:textId="77777777" w:rsidR="00CE0A8A" w:rsidRPr="003F6232" w:rsidRDefault="00B21D20"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第二條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本校延攬之國際頂尖人才，分為玉山學者及玉山青年學者，相關資格條件如下：</w:t>
      </w:r>
    </w:p>
    <w:p w14:paraId="4A581EBD" w14:textId="314BBB6D" w:rsidR="00B21D20" w:rsidRPr="003F6232" w:rsidRDefault="009316B4" w:rsidP="009316B4">
      <w:pPr>
        <w:pStyle w:val="a3"/>
        <w:snapToGrid w:val="0"/>
        <w:ind w:left="1134" w:right="754"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2</w:t>
      </w:r>
      <w:r w:rsidRPr="003F6232">
        <w:rPr>
          <w:rFonts w:ascii="Times New Roman" w:hAnsi="Times New Roman" w:cs="Times New Roman"/>
          <w:color w:val="000000" w:themeColor="text1"/>
        </w:rPr>
        <w:tab/>
        <w:t>The top global talent recruited by the University shall be classified into Yushan Scholars and Yushan Young Fellows, with the relevant qualification requirements as follows:</w:t>
      </w:r>
    </w:p>
    <w:p w14:paraId="5AFD4DA9" w14:textId="77777777" w:rsidR="009316B4" w:rsidRPr="003F6232" w:rsidRDefault="00B21D20" w:rsidP="009316B4">
      <w:pPr>
        <w:pStyle w:val="a3"/>
        <w:numPr>
          <w:ilvl w:val="0"/>
          <w:numId w:val="1"/>
        </w:numPr>
        <w:snapToGrid w:val="0"/>
        <w:ind w:left="1843" w:right="756" w:hanging="695"/>
        <w:rPr>
          <w:rFonts w:ascii="Times New Roman" w:hAnsi="Times New Roman" w:cs="Times New Roman"/>
          <w:color w:val="000000" w:themeColor="text1"/>
        </w:rPr>
      </w:pPr>
      <w:r w:rsidRPr="003F6232">
        <w:rPr>
          <w:rFonts w:ascii="Times New Roman" w:hAnsi="Times New Roman" w:cs="Times New Roman"/>
          <w:color w:val="000000" w:themeColor="text1"/>
        </w:rPr>
        <w:t>玉山學者須符合下列條件之一：</w:t>
      </w:r>
    </w:p>
    <w:p w14:paraId="3015FF3A" w14:textId="42992B2E" w:rsidR="00B21D20" w:rsidRPr="003F6232" w:rsidRDefault="00CE0A8A" w:rsidP="009316B4">
      <w:pPr>
        <w:pStyle w:val="a3"/>
        <w:numPr>
          <w:ilvl w:val="0"/>
          <w:numId w:val="7"/>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Yushan Scholars must meet one of the following criteria:</w:t>
      </w:r>
    </w:p>
    <w:p w14:paraId="664F07EC"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sz w:val="22"/>
          <w:szCs w:val="23"/>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一</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sz w:val="23"/>
          <w:szCs w:val="23"/>
        </w:rPr>
        <w:t>曾服務於國際</w:t>
      </w:r>
      <w:r w:rsidRPr="003F6232">
        <w:rPr>
          <w:rFonts w:ascii="Times New Roman" w:hAnsi="Times New Roman" w:cs="Times New Roman"/>
          <w:b/>
          <w:bCs/>
          <w:color w:val="000000" w:themeColor="text1"/>
          <w:sz w:val="20"/>
          <w:szCs w:val="23"/>
        </w:rPr>
        <w:t>一</w:t>
      </w:r>
      <w:r w:rsidRPr="003F6232">
        <w:rPr>
          <w:rFonts w:ascii="Times New Roman" w:hAnsi="Times New Roman" w:cs="Times New Roman"/>
          <w:color w:val="000000" w:themeColor="text1"/>
          <w:sz w:val="23"/>
          <w:szCs w:val="23"/>
        </w:rPr>
        <w:t>流學術研究機構或國際知名公司任職</w:t>
      </w:r>
      <w:r w:rsidRPr="003F6232">
        <w:rPr>
          <w:rFonts w:ascii="Times New Roman" w:hAnsi="Times New Roman" w:cs="Times New Roman"/>
          <w:b/>
          <w:bCs/>
          <w:color w:val="000000" w:themeColor="text1"/>
          <w:sz w:val="18"/>
          <w:szCs w:val="23"/>
        </w:rPr>
        <w:t>十</w:t>
      </w:r>
      <w:r w:rsidRPr="003F6232">
        <w:rPr>
          <w:rFonts w:ascii="Times New Roman" w:hAnsi="Times New Roman" w:cs="Times New Roman"/>
          <w:color w:val="000000" w:themeColor="text1"/>
          <w:sz w:val="23"/>
          <w:szCs w:val="23"/>
        </w:rPr>
        <w:t>年以上</w:t>
      </w:r>
      <w:r w:rsidRPr="003F6232">
        <w:rPr>
          <w:rFonts w:ascii="Times New Roman" w:hAnsi="Times New Roman" w:cs="Times New Roman"/>
          <w:b/>
          <w:bCs/>
          <w:color w:val="000000" w:themeColor="text1"/>
          <w:sz w:val="20"/>
          <w:szCs w:val="23"/>
        </w:rPr>
        <w:t>，</w:t>
      </w:r>
      <w:r w:rsidRPr="003F6232">
        <w:rPr>
          <w:rFonts w:ascii="Times New Roman" w:hAnsi="Times New Roman" w:cs="Times New Roman"/>
          <w:color w:val="000000" w:themeColor="text1"/>
          <w:sz w:val="23"/>
          <w:szCs w:val="23"/>
        </w:rPr>
        <w:t>具國際學術聲譽或具掌握達國際領先</w:t>
      </w:r>
      <w:r w:rsidRPr="003F6232">
        <w:rPr>
          <w:rFonts w:ascii="Times New Roman" w:hAnsi="Times New Roman" w:cs="Times New Roman"/>
          <w:b/>
          <w:bCs/>
          <w:color w:val="000000" w:themeColor="text1"/>
          <w:sz w:val="20"/>
          <w:szCs w:val="23"/>
        </w:rPr>
        <w:t>水</w:t>
      </w:r>
      <w:r w:rsidRPr="003F6232">
        <w:rPr>
          <w:rFonts w:ascii="Times New Roman" w:hAnsi="Times New Roman" w:cs="Times New Roman"/>
          <w:color w:val="000000" w:themeColor="text1"/>
          <w:sz w:val="23"/>
          <w:szCs w:val="23"/>
        </w:rPr>
        <w:t>準之核</w:t>
      </w:r>
      <w:r w:rsidRPr="003F6232">
        <w:rPr>
          <w:rFonts w:ascii="Times New Roman" w:hAnsi="Times New Roman" w:cs="Times New Roman"/>
          <w:color w:val="000000" w:themeColor="text1"/>
          <w:sz w:val="22"/>
          <w:szCs w:val="23"/>
        </w:rPr>
        <w:t>心</w:t>
      </w:r>
      <w:r w:rsidRPr="003F6232">
        <w:rPr>
          <w:rFonts w:ascii="Times New Roman" w:hAnsi="Times New Roman" w:cs="Times New Roman"/>
          <w:color w:val="000000" w:themeColor="text1"/>
          <w:sz w:val="23"/>
          <w:szCs w:val="23"/>
        </w:rPr>
        <w:t>技術</w:t>
      </w:r>
      <w:r w:rsidRPr="003F6232">
        <w:rPr>
          <w:rFonts w:ascii="Times New Roman" w:hAnsi="Times New Roman" w:cs="Times New Roman"/>
          <w:b/>
          <w:bCs/>
          <w:color w:val="000000" w:themeColor="text1"/>
          <w:sz w:val="18"/>
          <w:szCs w:val="23"/>
        </w:rPr>
        <w:t>，</w:t>
      </w:r>
      <w:r w:rsidRPr="003F6232">
        <w:rPr>
          <w:rFonts w:ascii="Times New Roman" w:hAnsi="Times New Roman" w:cs="Times New Roman"/>
          <w:color w:val="000000" w:themeColor="text1"/>
          <w:sz w:val="23"/>
          <w:szCs w:val="23"/>
        </w:rPr>
        <w:t>並有領導學術或產業研究團隊</w:t>
      </w:r>
      <w:r w:rsidRPr="003F6232">
        <w:rPr>
          <w:rFonts w:ascii="Times New Roman" w:hAnsi="Times New Roman" w:cs="Times New Roman"/>
          <w:b/>
          <w:bCs/>
          <w:color w:val="000000" w:themeColor="text1"/>
          <w:sz w:val="20"/>
          <w:szCs w:val="23"/>
        </w:rPr>
        <w:t>之</w:t>
      </w:r>
      <w:r w:rsidRPr="003F6232">
        <w:rPr>
          <w:rFonts w:ascii="Times New Roman" w:hAnsi="Times New Roman" w:cs="Times New Roman"/>
          <w:color w:val="000000" w:themeColor="text1"/>
          <w:sz w:val="23"/>
          <w:szCs w:val="23"/>
        </w:rPr>
        <w:t>經</w:t>
      </w:r>
      <w:r w:rsidRPr="003F6232">
        <w:rPr>
          <w:rFonts w:ascii="Times New Roman" w:hAnsi="Times New Roman" w:cs="Times New Roman"/>
          <w:color w:val="000000" w:themeColor="text1"/>
          <w:sz w:val="22"/>
          <w:szCs w:val="23"/>
        </w:rPr>
        <w:t>驗。</w:t>
      </w:r>
    </w:p>
    <w:p w14:paraId="13B90DAE" w14:textId="5A333192" w:rsidR="00B21D20" w:rsidRPr="003F6232" w:rsidRDefault="009316B4" w:rsidP="009316B4">
      <w:pPr>
        <w:pStyle w:val="a3"/>
        <w:snapToGrid w:val="0"/>
        <w:ind w:leftChars="837" w:left="2552" w:right="756" w:hangingChars="309" w:hanging="711"/>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(I)</w:t>
      </w:r>
      <w:r w:rsidRPr="003F6232">
        <w:rPr>
          <w:rFonts w:ascii="Times New Roman" w:hAnsi="Times New Roman" w:cs="Times New Roman"/>
          <w:color w:val="000000" w:themeColor="text1"/>
          <w:sz w:val="23"/>
          <w:szCs w:val="23"/>
        </w:rPr>
        <w:tab/>
        <w:t>Having served for at least 10 years in a top international academic/research institution or an internationally renowned company, having a global reputation in academia or mastery of core technologies at a globally leading level, and having experience leading academic or industry research teams.</w:t>
      </w:r>
    </w:p>
    <w:p w14:paraId="354F2981"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二</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曾</w:t>
      </w:r>
      <w:r w:rsidRPr="003F6232">
        <w:rPr>
          <w:rFonts w:ascii="Times New Roman" w:hAnsi="Times New Roman" w:cs="Times New Roman"/>
          <w:color w:val="000000" w:themeColor="text1"/>
          <w:sz w:val="22"/>
        </w:rPr>
        <w:t>獲</w:t>
      </w:r>
      <w:r w:rsidRPr="003F6232">
        <w:rPr>
          <w:rFonts w:ascii="Times New Roman" w:hAnsi="Times New Roman" w:cs="Times New Roman"/>
          <w:color w:val="000000" w:themeColor="text1"/>
        </w:rPr>
        <w:t>得諾貝爾獎</w:t>
      </w:r>
      <w:r w:rsidRPr="003F6232">
        <w:rPr>
          <w:rFonts w:ascii="Times New Roman" w:hAnsi="Times New Roman" w:cs="Times New Roman"/>
          <w:b/>
          <w:bCs/>
          <w:color w:val="000000" w:themeColor="text1"/>
          <w:sz w:val="18"/>
        </w:rPr>
        <w:t>、</w:t>
      </w:r>
      <w:r w:rsidRPr="003F6232">
        <w:rPr>
          <w:rFonts w:ascii="Times New Roman" w:hAnsi="Times New Roman" w:cs="Times New Roman"/>
          <w:color w:val="000000" w:themeColor="text1"/>
        </w:rPr>
        <w:t>國家級研究院院士</w:t>
      </w:r>
      <w:r w:rsidRPr="003F6232">
        <w:rPr>
          <w:rFonts w:ascii="Times New Roman" w:hAnsi="Times New Roman" w:cs="Times New Roman"/>
          <w:b/>
          <w:bCs/>
          <w:color w:val="000000" w:themeColor="text1"/>
          <w:sz w:val="18"/>
        </w:rPr>
        <w:t>、</w:t>
      </w:r>
      <w:r w:rsidRPr="003F6232">
        <w:rPr>
          <w:rFonts w:ascii="Times New Roman" w:hAnsi="Times New Roman" w:cs="Times New Roman"/>
          <w:color w:val="000000" w:themeColor="text1"/>
        </w:rPr>
        <w:t>國際重要學會會士或相當等級之獎項。</w:t>
      </w:r>
    </w:p>
    <w:p w14:paraId="1A0E1663" w14:textId="4232B6CA" w:rsidR="00B21D20" w:rsidRPr="003F6232" w:rsidRDefault="009316B4" w:rsidP="009316B4">
      <w:pPr>
        <w:pStyle w:val="a3"/>
        <w:snapToGrid w:val="0"/>
        <w:ind w:leftChars="837" w:left="2552" w:right="756" w:hangingChars="309" w:hanging="711"/>
        <w:rPr>
          <w:rFonts w:ascii="Times New Roman" w:hAnsi="Times New Roman" w:cs="Times New Roman"/>
          <w:color w:val="000000" w:themeColor="text1"/>
        </w:rPr>
      </w:pPr>
      <w:r w:rsidRPr="003F6232">
        <w:rPr>
          <w:rFonts w:ascii="Times New Roman" w:hAnsi="Times New Roman" w:cs="Times New Roman"/>
          <w:color w:val="000000" w:themeColor="text1"/>
          <w:sz w:val="23"/>
          <w:szCs w:val="23"/>
        </w:rPr>
        <w:t>(II)</w:t>
      </w:r>
      <w:r w:rsidRPr="003F6232">
        <w:rPr>
          <w:rFonts w:ascii="Times New Roman" w:hAnsi="Times New Roman" w:cs="Times New Roman"/>
          <w:color w:val="000000" w:themeColor="text1"/>
          <w:sz w:val="23"/>
          <w:szCs w:val="23"/>
        </w:rPr>
        <w:tab/>
        <w:t>Having won a Nobel Prize, been elected as an academician of a national academy, a fellow of a major international academic society, or received an award of similar significance.</w:t>
      </w:r>
    </w:p>
    <w:p w14:paraId="11C7F851"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三</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近五年之學術或產業貢獻於所屬領域表現卓越。</w:t>
      </w:r>
    </w:p>
    <w:p w14:paraId="0EF8ECA7" w14:textId="060EE000" w:rsidR="00B21D20" w:rsidRPr="003F6232" w:rsidRDefault="009316B4" w:rsidP="009316B4">
      <w:pPr>
        <w:pStyle w:val="a3"/>
        <w:snapToGrid w:val="0"/>
        <w:ind w:leftChars="837" w:left="2552" w:right="756" w:hangingChars="309" w:hanging="711"/>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(III)</w:t>
      </w:r>
      <w:r w:rsidRPr="003F6232">
        <w:rPr>
          <w:rFonts w:ascii="Times New Roman" w:hAnsi="Times New Roman" w:cs="Times New Roman"/>
          <w:color w:val="000000" w:themeColor="text1"/>
          <w:sz w:val="23"/>
          <w:szCs w:val="23"/>
        </w:rPr>
        <w:tab/>
        <w:t>Having made extraordinary contributions to academia or industry in their field of expertise in the most recent five-year period.</w:t>
      </w:r>
    </w:p>
    <w:p w14:paraId="52392AC4" w14:textId="77777777" w:rsidR="009316B4" w:rsidRPr="003F6232" w:rsidRDefault="00B21D20" w:rsidP="009316B4">
      <w:pPr>
        <w:pStyle w:val="a3"/>
        <w:numPr>
          <w:ilvl w:val="0"/>
          <w:numId w:val="1"/>
        </w:numPr>
        <w:snapToGrid w:val="0"/>
        <w:ind w:left="1843" w:right="756" w:hanging="695"/>
        <w:rPr>
          <w:rFonts w:ascii="Times New Roman" w:hAnsi="Times New Roman" w:cs="Times New Roman"/>
          <w:color w:val="000000" w:themeColor="text1"/>
        </w:rPr>
      </w:pPr>
      <w:r w:rsidRPr="003F6232">
        <w:rPr>
          <w:rFonts w:ascii="Times New Roman" w:hAnsi="Times New Roman" w:cs="Times New Roman"/>
          <w:color w:val="000000" w:themeColor="text1"/>
        </w:rPr>
        <w:t>玉山青年學者為取得最高學歷十年以內，並符合下列條件之一：</w:t>
      </w:r>
    </w:p>
    <w:p w14:paraId="5A0B6B55" w14:textId="605DAA73" w:rsidR="00B21D20" w:rsidRPr="003F6232" w:rsidRDefault="00CE0A8A" w:rsidP="009316B4">
      <w:pPr>
        <w:pStyle w:val="a3"/>
        <w:numPr>
          <w:ilvl w:val="0"/>
          <w:numId w:val="7"/>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Yushan Young Fellows must have obtained their highest educational degree in the most recent 10-year period and must meet one of the following criteria:</w:t>
      </w:r>
    </w:p>
    <w:p w14:paraId="3300D9C1"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sz w:val="23"/>
          <w:szCs w:val="23"/>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一</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sz w:val="22"/>
          <w:szCs w:val="23"/>
        </w:rPr>
        <w:t>曾服務於國</w:t>
      </w:r>
      <w:r w:rsidRPr="003F6232">
        <w:rPr>
          <w:rFonts w:ascii="Times New Roman" w:hAnsi="Times New Roman" w:cs="Times New Roman"/>
          <w:color w:val="000000" w:themeColor="text1"/>
          <w:sz w:val="23"/>
          <w:szCs w:val="23"/>
        </w:rPr>
        <w:t>際一</w:t>
      </w:r>
      <w:r w:rsidRPr="003F6232">
        <w:rPr>
          <w:rFonts w:ascii="Times New Roman" w:hAnsi="Times New Roman" w:cs="Times New Roman"/>
          <w:color w:val="000000" w:themeColor="text1"/>
          <w:sz w:val="22"/>
          <w:szCs w:val="23"/>
        </w:rPr>
        <w:t>流學術研究</w:t>
      </w:r>
      <w:r w:rsidRPr="003F6232">
        <w:rPr>
          <w:rFonts w:ascii="Times New Roman" w:hAnsi="Times New Roman" w:cs="Times New Roman"/>
          <w:color w:val="000000" w:themeColor="text1"/>
          <w:sz w:val="23"/>
          <w:szCs w:val="23"/>
        </w:rPr>
        <w:t>機構或國際</w:t>
      </w:r>
      <w:r w:rsidRPr="003F6232">
        <w:rPr>
          <w:rFonts w:ascii="Times New Roman" w:hAnsi="Times New Roman" w:cs="Times New Roman"/>
          <w:color w:val="000000" w:themeColor="text1"/>
          <w:sz w:val="22"/>
          <w:szCs w:val="23"/>
        </w:rPr>
        <w:t>知名公司任職五年</w:t>
      </w:r>
      <w:r w:rsidRPr="003F6232">
        <w:rPr>
          <w:rFonts w:ascii="Times New Roman" w:hAnsi="Times New Roman" w:cs="Times New Roman"/>
          <w:color w:val="000000" w:themeColor="text1"/>
          <w:sz w:val="23"/>
          <w:szCs w:val="23"/>
        </w:rPr>
        <w:t>以</w:t>
      </w:r>
      <w:r w:rsidRPr="003F6232">
        <w:rPr>
          <w:rFonts w:ascii="Times New Roman" w:hAnsi="Times New Roman" w:cs="Times New Roman"/>
          <w:color w:val="000000" w:themeColor="text1"/>
          <w:sz w:val="22"/>
          <w:szCs w:val="23"/>
        </w:rPr>
        <w:t>上</w:t>
      </w:r>
      <w:r w:rsidRPr="003F6232">
        <w:rPr>
          <w:rFonts w:ascii="Times New Roman" w:hAnsi="Times New Roman" w:cs="Times New Roman"/>
          <w:b/>
          <w:bCs/>
          <w:color w:val="000000" w:themeColor="text1"/>
          <w:sz w:val="16"/>
        </w:rPr>
        <w:t>，</w:t>
      </w:r>
      <w:r w:rsidRPr="003F6232">
        <w:rPr>
          <w:rFonts w:ascii="Times New Roman" w:hAnsi="Times New Roman" w:cs="Times New Roman"/>
          <w:color w:val="000000" w:themeColor="text1"/>
          <w:sz w:val="22"/>
          <w:szCs w:val="23"/>
        </w:rPr>
        <w:t>並具</w:t>
      </w:r>
      <w:r w:rsidRPr="003F6232">
        <w:rPr>
          <w:rFonts w:ascii="Times New Roman" w:hAnsi="Times New Roman" w:cs="Times New Roman"/>
          <w:color w:val="000000" w:themeColor="text1"/>
          <w:sz w:val="23"/>
          <w:szCs w:val="23"/>
        </w:rPr>
        <w:t>有發展潛力。</w:t>
      </w:r>
    </w:p>
    <w:p w14:paraId="4CDF5E78" w14:textId="2AE7521B" w:rsidR="00B21D20" w:rsidRPr="003F6232" w:rsidRDefault="003B000B" w:rsidP="009316B4">
      <w:pPr>
        <w:pStyle w:val="a3"/>
        <w:snapToGrid w:val="0"/>
        <w:ind w:leftChars="837" w:left="2552" w:right="756" w:hangingChars="309" w:hanging="711"/>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(I)</w:t>
      </w:r>
      <w:r w:rsidRPr="003F6232">
        <w:rPr>
          <w:rFonts w:ascii="Times New Roman" w:hAnsi="Times New Roman" w:cs="Times New Roman"/>
          <w:color w:val="000000" w:themeColor="text1"/>
          <w:sz w:val="23"/>
          <w:szCs w:val="23"/>
        </w:rPr>
        <w:tab/>
        <w:t xml:space="preserve">Having served for at least five years in a top international </w:t>
      </w:r>
      <w:r w:rsidRPr="003F6232">
        <w:rPr>
          <w:rFonts w:ascii="Times New Roman" w:hAnsi="Times New Roman" w:cs="Times New Roman"/>
          <w:color w:val="000000" w:themeColor="text1"/>
          <w:sz w:val="23"/>
          <w:szCs w:val="23"/>
        </w:rPr>
        <w:lastRenderedPageBreak/>
        <w:t>academic/research institution or an internationally renowned company and demonstrating potential for future development.</w:t>
      </w:r>
    </w:p>
    <w:p w14:paraId="193798ED"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二</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有執行重大研究計畫之經驗。</w:t>
      </w:r>
    </w:p>
    <w:p w14:paraId="18DE471A" w14:textId="4F5417AA" w:rsidR="007E0120" w:rsidRPr="003F6232" w:rsidRDefault="009316B4" w:rsidP="009316B4">
      <w:pPr>
        <w:pStyle w:val="a3"/>
        <w:snapToGrid w:val="0"/>
        <w:ind w:leftChars="837" w:left="2552" w:right="756" w:hangingChars="309" w:hanging="711"/>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(II)</w:t>
      </w:r>
      <w:r w:rsidRPr="003F6232">
        <w:rPr>
          <w:rFonts w:ascii="Times New Roman" w:hAnsi="Times New Roman" w:cs="Times New Roman"/>
          <w:color w:val="000000" w:themeColor="text1"/>
          <w:sz w:val="23"/>
          <w:szCs w:val="23"/>
        </w:rPr>
        <w:tab/>
        <w:t>Having experience carrying out major research projects.</w:t>
      </w:r>
    </w:p>
    <w:p w14:paraId="3FC6698B" w14:textId="77777777" w:rsidR="009316B4" w:rsidRPr="003F6232" w:rsidRDefault="00B21D20" w:rsidP="009316B4">
      <w:pPr>
        <w:pStyle w:val="a3"/>
        <w:snapToGrid w:val="0"/>
        <w:ind w:leftChars="828" w:left="2552" w:right="756" w:hangingChars="304" w:hanging="730"/>
        <w:rPr>
          <w:rFonts w:ascii="Times New Roman" w:hAnsi="Times New Roman" w:cs="Times New Roman"/>
          <w:color w:val="000000" w:themeColor="text1"/>
        </w:rPr>
      </w:pP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三</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近五年之學術貢獻於所屬領域表現優異。</w:t>
      </w:r>
    </w:p>
    <w:p w14:paraId="49A3B2FE" w14:textId="136522D8" w:rsidR="007E0120" w:rsidRPr="003F6232" w:rsidRDefault="009316B4" w:rsidP="009316B4">
      <w:pPr>
        <w:pStyle w:val="a3"/>
        <w:snapToGrid w:val="0"/>
        <w:ind w:leftChars="837" w:left="2552" w:right="756" w:hangingChars="309" w:hanging="711"/>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(III)</w:t>
      </w:r>
      <w:r w:rsidRPr="003F6232">
        <w:rPr>
          <w:rFonts w:ascii="Times New Roman" w:hAnsi="Times New Roman" w:cs="Times New Roman"/>
          <w:color w:val="000000" w:themeColor="text1"/>
          <w:sz w:val="23"/>
          <w:szCs w:val="23"/>
        </w:rPr>
        <w:tab/>
        <w:t>Having made excellent contributions to academia in their field of expertise in the most recent five-year period.</w:t>
      </w:r>
    </w:p>
    <w:p w14:paraId="256153C5" w14:textId="77777777" w:rsidR="00CE0A8A" w:rsidRPr="003F6232" w:rsidRDefault="00B21D20" w:rsidP="009316B4">
      <w:pPr>
        <w:pStyle w:val="a3"/>
        <w:snapToGrid w:val="0"/>
        <w:ind w:leftChars="837" w:left="1841" w:right="756"/>
        <w:rPr>
          <w:rFonts w:ascii="Times New Roman" w:hAnsi="Times New Roman" w:cs="Times New Roman"/>
          <w:color w:val="000000" w:themeColor="text1"/>
        </w:rPr>
      </w:pPr>
      <w:r w:rsidRPr="003F6232">
        <w:rPr>
          <w:rFonts w:ascii="Times New Roman" w:hAnsi="Times New Roman" w:cs="Times New Roman"/>
          <w:color w:val="000000" w:themeColor="text1"/>
        </w:rPr>
        <w:t>前項延攬之國際頂尖人才不得為我國學校及學術研究機構現職專任人員（不包括計畫型專案人員）或退休人員；且不得再請領本校彈性薪資。</w:t>
      </w:r>
    </w:p>
    <w:p w14:paraId="7C21AF04" w14:textId="605842F9" w:rsidR="00376A7B" w:rsidRPr="003F6232" w:rsidRDefault="00CE0A8A" w:rsidP="009316B4">
      <w:pPr>
        <w:pStyle w:val="a3"/>
        <w:snapToGrid w:val="0"/>
        <w:ind w:leftChars="837" w:left="1841" w:right="756"/>
        <w:rPr>
          <w:rFonts w:ascii="Times New Roman" w:hAnsi="Times New Roman" w:cs="Times New Roman"/>
          <w:color w:val="000000" w:themeColor="text1"/>
        </w:rPr>
      </w:pPr>
      <w:r w:rsidRPr="003F6232">
        <w:rPr>
          <w:rFonts w:ascii="Times New Roman" w:hAnsi="Times New Roman" w:cs="Times New Roman"/>
          <w:color w:val="000000" w:themeColor="text1"/>
        </w:rPr>
        <w:t>The top global talent recruited as described in the preceding paragraph may not be current full-time employees (excluding project personnel) or retirees of domestic schools or research institutions. Furthermore, personnel recruited as top global talent shall be ineligible for any flexible pay at the University.</w:t>
      </w:r>
    </w:p>
    <w:p w14:paraId="7C73459B" w14:textId="77777777" w:rsidR="007E0120" w:rsidRPr="003F6232" w:rsidRDefault="007E0120" w:rsidP="009316B4">
      <w:pPr>
        <w:pStyle w:val="a3"/>
        <w:snapToGrid w:val="0"/>
        <w:ind w:left="1134" w:right="754"/>
        <w:rPr>
          <w:rFonts w:ascii="Times New Roman" w:hAnsi="Times New Roman" w:cs="Times New Roman"/>
          <w:color w:val="000000" w:themeColor="text1"/>
        </w:rPr>
      </w:pPr>
    </w:p>
    <w:p w14:paraId="1C34BFB8" w14:textId="77777777" w:rsidR="00CE0A8A" w:rsidRPr="003F6232" w:rsidRDefault="007E0120"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第三條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本校遴聘之國際頂尖人才職務等級如下：</w:t>
      </w:r>
    </w:p>
    <w:p w14:paraId="15966B19" w14:textId="38C56AAA" w:rsidR="007E0120" w:rsidRPr="003F6232" w:rsidRDefault="009316B4" w:rsidP="009316B4">
      <w:pPr>
        <w:pStyle w:val="a3"/>
        <w:snapToGrid w:val="0"/>
        <w:ind w:left="1134" w:right="754"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3</w:t>
      </w:r>
      <w:r w:rsidRPr="003F6232">
        <w:rPr>
          <w:rFonts w:ascii="Times New Roman" w:hAnsi="Times New Roman" w:cs="Times New Roman"/>
          <w:color w:val="000000" w:themeColor="text1"/>
        </w:rPr>
        <w:tab/>
        <w:t>The top global talent receiving appointments at the University shall be assigned to the following position ranks:</w:t>
      </w:r>
    </w:p>
    <w:p w14:paraId="5CCE7174" w14:textId="77777777" w:rsidR="00D02F14" w:rsidRPr="003F6232" w:rsidRDefault="007E0120" w:rsidP="009316B4">
      <w:pPr>
        <w:pStyle w:val="a3"/>
        <w:numPr>
          <w:ilvl w:val="0"/>
          <w:numId w:val="2"/>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玉山學者：教授或研究員。</w:t>
      </w:r>
    </w:p>
    <w:p w14:paraId="27A0096D" w14:textId="76E365AD" w:rsidR="007E0120" w:rsidRPr="003F6232" w:rsidRDefault="00CE0A8A" w:rsidP="00D02F14">
      <w:pPr>
        <w:pStyle w:val="a3"/>
        <w:numPr>
          <w:ilvl w:val="0"/>
          <w:numId w:val="8"/>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Yushan Scholar: Professor/research fellow.</w:t>
      </w:r>
    </w:p>
    <w:p w14:paraId="50C79525" w14:textId="77777777" w:rsidR="00D02F14" w:rsidRPr="003F6232" w:rsidRDefault="007E0120" w:rsidP="009316B4">
      <w:pPr>
        <w:pStyle w:val="a3"/>
        <w:numPr>
          <w:ilvl w:val="0"/>
          <w:numId w:val="2"/>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玉山青年</w:t>
      </w:r>
      <w:r w:rsidRPr="003F6232">
        <w:rPr>
          <w:rFonts w:ascii="Times New Roman" w:hAnsi="Times New Roman" w:cs="Times New Roman"/>
          <w:color w:val="000000" w:themeColor="text1"/>
          <w:sz w:val="23"/>
          <w:szCs w:val="23"/>
        </w:rPr>
        <w:t>學者：教授、副教授、助理教授或研究員、副研究員、</w:t>
      </w:r>
      <w:r w:rsidRPr="003F6232">
        <w:rPr>
          <w:rFonts w:ascii="Times New Roman" w:hAnsi="Times New Roman" w:cs="Times New Roman"/>
          <w:color w:val="000000" w:themeColor="text1"/>
        </w:rPr>
        <w:t>助理研究員。</w:t>
      </w:r>
    </w:p>
    <w:p w14:paraId="62634237" w14:textId="70282EC1" w:rsidR="00F80CF8" w:rsidRPr="003F6232" w:rsidRDefault="00090469" w:rsidP="00D02F14">
      <w:pPr>
        <w:pStyle w:val="a3"/>
        <w:numPr>
          <w:ilvl w:val="0"/>
          <w:numId w:val="8"/>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Yushan Young Fellow: Professor/research fellow, associate professor/associate research fellow, or assistant professor/assistant research fellow.</w:t>
      </w:r>
    </w:p>
    <w:p w14:paraId="0EF3026A" w14:textId="3B9B453F" w:rsidR="00CE0A8A" w:rsidRPr="003F6232" w:rsidRDefault="007E0120" w:rsidP="009316B4">
      <w:pPr>
        <w:pStyle w:val="a3"/>
        <w:snapToGrid w:val="0"/>
        <w:ind w:left="1843" w:right="756"/>
        <w:rPr>
          <w:rFonts w:ascii="Times New Roman" w:hAnsi="Times New Roman" w:cs="Times New Roman"/>
          <w:color w:val="000000" w:themeColor="text1"/>
        </w:rPr>
      </w:pPr>
      <w:r w:rsidRPr="003F6232">
        <w:rPr>
          <w:rFonts w:ascii="Times New Roman" w:hAnsi="Times New Roman" w:cs="Times New Roman"/>
          <w:color w:val="000000" w:themeColor="text1"/>
        </w:rPr>
        <w:t>前項第一款編制內專任教師，聘任時年齡超過六十五歲者，得以編制外專任教師聘任；或聘任短期交流教研人員，每年至少在校服務三個月以上。</w:t>
      </w:r>
    </w:p>
    <w:p w14:paraId="66E8A780" w14:textId="69136C6A" w:rsidR="00376A7B" w:rsidRPr="003F6232" w:rsidRDefault="00CE0A8A" w:rsidP="009316B4">
      <w:pPr>
        <w:pStyle w:val="a3"/>
        <w:snapToGrid w:val="0"/>
        <w:ind w:left="1843" w:right="756"/>
        <w:rPr>
          <w:rFonts w:ascii="Times New Roman" w:hAnsi="Times New Roman" w:cs="Times New Roman"/>
          <w:color w:val="000000" w:themeColor="text1"/>
        </w:rPr>
      </w:pPr>
      <w:r w:rsidRPr="003F6232">
        <w:rPr>
          <w:rFonts w:ascii="Times New Roman" w:hAnsi="Times New Roman" w:cs="Times New Roman"/>
          <w:color w:val="000000" w:themeColor="text1"/>
        </w:rPr>
        <w:t>Quota-based full-time faculty members, as described in Subparagraph 1 of the preceding paragraph, may be appointed as supernumerary full-time faculty members if they are over the age of 65 at the time of appointment, or as short-term visiting teaching and research personnel who shall serve at the University for at least three months each year.</w:t>
      </w:r>
    </w:p>
    <w:p w14:paraId="3CE0BDE1" w14:textId="77777777" w:rsidR="00CE0A8A" w:rsidRPr="003F6232" w:rsidRDefault="00000833"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第四條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國際頂尖人才符合下列資格者，得免外審：</w:t>
      </w:r>
    </w:p>
    <w:p w14:paraId="3E5F2E14" w14:textId="29110FD6" w:rsidR="00000833" w:rsidRPr="003F6232" w:rsidRDefault="00D02F14" w:rsidP="00D02F14">
      <w:pPr>
        <w:pStyle w:val="a3"/>
        <w:snapToGrid w:val="0"/>
        <w:ind w:left="1134" w:right="754"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4</w:t>
      </w:r>
      <w:r w:rsidRPr="003F6232">
        <w:rPr>
          <w:rFonts w:ascii="Times New Roman" w:hAnsi="Times New Roman" w:cs="Times New Roman"/>
          <w:color w:val="000000" w:themeColor="text1"/>
        </w:rPr>
        <w:tab/>
        <w:t>Top global talent who meet the following criteria may be exempted from an external review:</w:t>
      </w:r>
    </w:p>
    <w:p w14:paraId="7C91F91E" w14:textId="77777777" w:rsidR="00D02F14" w:rsidRPr="003F6232" w:rsidRDefault="00000833" w:rsidP="009316B4">
      <w:pPr>
        <w:pStyle w:val="a3"/>
        <w:numPr>
          <w:ilvl w:val="0"/>
          <w:numId w:val="3"/>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符合教育人員任用條例第十八條第一款教授資格：具有博士學位或其同等學歷證書，曾從事與所習學科有關之研究工作、專門職業或職務八年以上，有創作或發明，在學術上有重要貢獻或重要專門著作者。</w:t>
      </w:r>
    </w:p>
    <w:p w14:paraId="65F9F710" w14:textId="070EFD8C" w:rsidR="00000833" w:rsidRPr="003F6232" w:rsidRDefault="00CE0A8A" w:rsidP="00D02F14">
      <w:pPr>
        <w:pStyle w:val="a3"/>
        <w:numPr>
          <w:ilvl w:val="0"/>
          <w:numId w:val="9"/>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The candidate meets the qualifications for the rank of professor provided in Article 18, Subparagraph 1 of the Act Governing the Appointment of Educators, i.e., holding a doctoral (or equivalent) degree, having engaged in research, professional practice, or positions related to their field of expertise for at least eight years with tangible results or inventions, and having produced significant academic contributions or specialized works.</w:t>
      </w:r>
    </w:p>
    <w:p w14:paraId="52DA6562" w14:textId="77777777" w:rsidR="00D02F14" w:rsidRPr="003F6232" w:rsidRDefault="00000833" w:rsidP="009316B4">
      <w:pPr>
        <w:pStyle w:val="a3"/>
        <w:numPr>
          <w:ilvl w:val="0"/>
          <w:numId w:val="3"/>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曾於國外大學或香港、澳門大學擔任專任教授，其任教大學係符合大學</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辦理國外學歷採認辦法、香港澳門學歷檢覈及採認辦法規定之學校。</w:t>
      </w:r>
    </w:p>
    <w:p w14:paraId="7C02D47D" w14:textId="1F70338D" w:rsidR="00E5768E" w:rsidRPr="003F6232" w:rsidRDefault="00CE0A8A" w:rsidP="00D02F14">
      <w:pPr>
        <w:pStyle w:val="a3"/>
        <w:numPr>
          <w:ilvl w:val="0"/>
          <w:numId w:val="9"/>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 xml:space="preserve">The candidate previously served as a full-time professor at a university located in Hong Kong, Macau, or a foreign country which is recognized under the Regulations Governing the Assessment and Recognition of Foreign Academic Records by Institutions of Higher Education or the Regulations </w:t>
      </w:r>
      <w:r w:rsidRPr="003F6232">
        <w:rPr>
          <w:rFonts w:ascii="Times New Roman" w:hAnsi="Times New Roman" w:cs="Times New Roman"/>
          <w:color w:val="000000" w:themeColor="text1"/>
        </w:rPr>
        <w:lastRenderedPageBreak/>
        <w:t>Governing the Examination and Recognition of Educational Records from Hong Kong and Macao.</w:t>
      </w:r>
    </w:p>
    <w:p w14:paraId="0E18CEA9" w14:textId="77777777" w:rsidR="00D02F14" w:rsidRPr="003F6232" w:rsidRDefault="00000833" w:rsidP="009316B4">
      <w:pPr>
        <w:pStyle w:val="a3"/>
        <w:numPr>
          <w:ilvl w:val="0"/>
          <w:numId w:val="3"/>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為諾貝爾獎或相當等級之得主、國家級研究院院士、國際重要學會會士，</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或在其他相當於前述資格之學術或專業領域著有傑出成就者。</w:t>
      </w:r>
    </w:p>
    <w:p w14:paraId="066EC686" w14:textId="68BCD527" w:rsidR="00376A7B" w:rsidRPr="003F6232" w:rsidRDefault="00CE0A8A" w:rsidP="00D02F14">
      <w:pPr>
        <w:pStyle w:val="a3"/>
        <w:numPr>
          <w:ilvl w:val="0"/>
          <w:numId w:val="9"/>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The candidate has won a Nobel Prize or an award of equivalent significance or has been elected as an academician of a national academy or a fellow of a major international academic society, or has achieved extraordinary accomplishments in an academic or professional field equivalent to the aforementioned qualifications.</w:t>
      </w:r>
    </w:p>
    <w:p w14:paraId="2377E836" w14:textId="3CB2EA58" w:rsidR="00376A7B" w:rsidRPr="003F6232" w:rsidRDefault="00376A7B" w:rsidP="009316B4">
      <w:pPr>
        <w:pStyle w:val="a3"/>
        <w:snapToGrid w:val="0"/>
        <w:ind w:left="1418" w:right="754" w:hanging="284"/>
        <w:rPr>
          <w:rFonts w:ascii="Times New Roman" w:hAnsi="Times New Roman" w:cs="Times New Roman"/>
          <w:color w:val="000000" w:themeColor="text1"/>
          <w:kern w:val="24"/>
        </w:rPr>
      </w:pPr>
    </w:p>
    <w:p w14:paraId="61D4BA62" w14:textId="77777777" w:rsidR="00CE0A8A" w:rsidRPr="003F6232" w:rsidRDefault="00074B48"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第五條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本校得組織國際頂尖人才遴聘審議委員會</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以下簡稱遴委會</w:t>
      </w:r>
      <w:r w:rsidRPr="003F6232">
        <w:rPr>
          <w:rFonts w:ascii="Times New Roman" w:hAnsi="Times New Roman" w:cs="Times New Roman"/>
          <w:color w:val="000000" w:themeColor="text1"/>
        </w:rPr>
        <w:t>)</w:t>
      </w:r>
      <w:r w:rsidRPr="003F6232">
        <w:rPr>
          <w:rFonts w:ascii="Times New Roman" w:hAnsi="Times New Roman" w:cs="Times New Roman"/>
          <w:color w:val="000000" w:themeColor="text1"/>
        </w:rPr>
        <w:t>，負責玉山學者</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及玉山青年學者之初審。初審通過後，提送推薦人選報請教育部審查，經審查通過者，依下列程序辦理聘任：</w:t>
      </w:r>
    </w:p>
    <w:p w14:paraId="5AD3B8E0" w14:textId="12AED618" w:rsidR="00074B48"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5</w:t>
      </w:r>
      <w:r w:rsidRPr="003F6232">
        <w:rPr>
          <w:rFonts w:ascii="Times New Roman" w:hAnsi="Times New Roman" w:cs="Times New Roman"/>
          <w:color w:val="000000" w:themeColor="text1"/>
        </w:rPr>
        <w:tab/>
        <w:t>The University may establish a Top Global Talent Selection and Review Committee (hereinafter referred to as “the Selection Committee”) to handle preliminary reviews of Yushan Scholar and Yushan Young Fellow appointments. After passing the preliminary review, the recommended candidates shall be referred to the Ministry of Education for further review. Those who pass the review shall be appointed in accordance with the following procedures:</w:t>
      </w:r>
    </w:p>
    <w:p w14:paraId="7DF5DAB3" w14:textId="77777777" w:rsidR="00B14D5C" w:rsidRPr="003F6232" w:rsidRDefault="00074B48" w:rsidP="009316B4">
      <w:pPr>
        <w:pStyle w:val="a3"/>
        <w:numPr>
          <w:ilvl w:val="0"/>
          <w:numId w:val="4"/>
        </w:numPr>
        <w:snapToGrid w:val="0"/>
        <w:ind w:left="1843" w:right="756" w:hanging="667"/>
        <w:rPr>
          <w:rFonts w:ascii="Times New Roman" w:hAnsi="Times New Roman" w:cs="Times New Roman"/>
          <w:color w:val="000000" w:themeColor="text1"/>
        </w:rPr>
      </w:pPr>
      <w:r w:rsidRPr="003F6232">
        <w:rPr>
          <w:rFonts w:ascii="Times New Roman" w:hAnsi="Times New Roman" w:cs="Times New Roman"/>
          <w:color w:val="000000" w:themeColor="text1"/>
        </w:rPr>
        <w:t>符合前條規定或具擬聘等級教師證書或聘為研究人員者，得免外審，由聘任單位依行政程序逕送本校教師評審委員會審議。</w:t>
      </w:r>
    </w:p>
    <w:p w14:paraId="5A5A59DD" w14:textId="5BD3FFC2" w:rsidR="00074B48" w:rsidRPr="003F6232" w:rsidRDefault="00CE0A8A" w:rsidP="00B14D5C">
      <w:pPr>
        <w:pStyle w:val="a3"/>
        <w:numPr>
          <w:ilvl w:val="0"/>
          <w:numId w:val="10"/>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Candidates who meet the requirements described in the preceding article, hold a teacher certificate corresponding to their intended rank, or are appointed to the position of research fellow shall be exempt from external review and shall be referred by the appointing unit directly to the University Faculty Evaluation Committee for review in accordance with administrative procedures.</w:t>
      </w:r>
    </w:p>
    <w:p w14:paraId="131FC4ED" w14:textId="77777777" w:rsidR="00B14D5C" w:rsidRPr="003F6232" w:rsidRDefault="00074B48" w:rsidP="009316B4">
      <w:pPr>
        <w:pStyle w:val="a3"/>
        <w:numPr>
          <w:ilvl w:val="0"/>
          <w:numId w:val="4"/>
        </w:numPr>
        <w:snapToGrid w:val="0"/>
        <w:ind w:left="1843" w:right="756" w:hanging="667"/>
        <w:rPr>
          <w:rFonts w:ascii="Times New Roman" w:hAnsi="Times New Roman" w:cs="Times New Roman"/>
          <w:color w:val="000000" w:themeColor="text1"/>
        </w:rPr>
      </w:pPr>
      <w:r w:rsidRPr="003F6232">
        <w:rPr>
          <w:rFonts w:ascii="Times New Roman" w:hAnsi="Times New Roman" w:cs="Times New Roman"/>
          <w:color w:val="000000" w:themeColor="text1"/>
        </w:rPr>
        <w:t>擬聘人員如未具前條免外審規定或未具擬聘等級教師證書者，應由聘任單位所屬學院辦理外審，外審結果符合本校教師升等評審標準暨聘任升等著作送審準則第六條規定者，依行政程序提送本校教師評審委員會審議通過後，報請校長核聘。</w:t>
      </w:r>
    </w:p>
    <w:p w14:paraId="1180FBA9" w14:textId="44D262E2" w:rsidR="00074B48" w:rsidRPr="003F6232" w:rsidRDefault="00CE0A8A" w:rsidP="00B14D5C">
      <w:pPr>
        <w:pStyle w:val="a3"/>
        <w:numPr>
          <w:ilvl w:val="0"/>
          <w:numId w:val="10"/>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Proposed appointees who do not meet the requirements for exemption from external review described in the preceding article, or who do not hold a teacher certificate corresponding to their intended rank, shall be subject to an external review organized by the appointing unit’s college. Those whose external review results meet the requirements set forth in Article 6 of the University’s Standards for Faculty Promotion Evaluation and Guidelines for Submission and Review of Publications for Appointment and Promotion may then be referred to the University Faculty Evaluation Committee for review and the President for appointment in accordance with administrative procedures.</w:t>
      </w:r>
    </w:p>
    <w:p w14:paraId="5A9690EF" w14:textId="77777777" w:rsidR="00CE0A8A" w:rsidRPr="003F6232" w:rsidRDefault="00074B48" w:rsidP="009316B4">
      <w:pPr>
        <w:pStyle w:val="a3"/>
        <w:snapToGrid w:val="0"/>
        <w:ind w:leftChars="515" w:left="1133" w:right="754"/>
        <w:rPr>
          <w:rFonts w:ascii="Times New Roman" w:hAnsi="Times New Roman" w:cs="Times New Roman"/>
          <w:color w:val="000000" w:themeColor="text1"/>
        </w:rPr>
      </w:pPr>
      <w:r w:rsidRPr="003F6232">
        <w:rPr>
          <w:rFonts w:ascii="Times New Roman" w:hAnsi="Times New Roman" w:cs="Times New Roman"/>
          <w:color w:val="000000" w:themeColor="text1"/>
        </w:rPr>
        <w:t>前項人員如經教育部審查通過，由學校核撥校競爭員額聘任；如經教育部</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審查未通過者，得依本校教師聘任暨升等辦法規定，由單位自提員額辦理聘任事宜。</w:t>
      </w:r>
    </w:p>
    <w:p w14:paraId="5069B3EC" w14:textId="128A79F9" w:rsidR="005A6F81" w:rsidRPr="003F6232" w:rsidRDefault="00CE0A8A" w:rsidP="009316B4">
      <w:pPr>
        <w:pStyle w:val="a3"/>
        <w:snapToGrid w:val="0"/>
        <w:ind w:leftChars="515" w:left="1133" w:right="754"/>
        <w:rPr>
          <w:rFonts w:ascii="Times New Roman" w:hAnsi="Times New Roman" w:cs="Times New Roman"/>
          <w:color w:val="000000" w:themeColor="text1"/>
        </w:rPr>
      </w:pPr>
      <w:r w:rsidRPr="003F6232">
        <w:rPr>
          <w:rFonts w:ascii="Times New Roman" w:hAnsi="Times New Roman" w:cs="Times New Roman"/>
          <w:color w:val="000000" w:themeColor="text1"/>
        </w:rPr>
        <w:t>If the personnel mentioned in the preceding paragraph pass the Ministry of Education’s review, the University shall appoint them under the University competitive quota; those who fail the Ministry of Education’s review may still be appointed under the unit-level faculty quota in accordance with the University’s Regulations for Faculty Appointments and Promotions.</w:t>
      </w:r>
    </w:p>
    <w:p w14:paraId="49C1C034" w14:textId="77777777" w:rsidR="00CE0A8A" w:rsidRPr="003F6232" w:rsidRDefault="00074B48" w:rsidP="009316B4">
      <w:pPr>
        <w:pStyle w:val="a3"/>
        <w:snapToGrid w:val="0"/>
        <w:ind w:leftChars="515" w:left="1133" w:right="754"/>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Cs w:val="23"/>
        </w:rPr>
        <w:t>擬聘人員如以專案計畫教學或研究人員聘任且不送審教師證書者</w:t>
      </w:r>
      <w:r w:rsidRPr="003F6232">
        <w:rPr>
          <w:rFonts w:ascii="Times New Roman" w:hAnsi="Times New Roman" w:cs="Times New Roman"/>
          <w:b/>
          <w:bCs/>
          <w:color w:val="000000" w:themeColor="text1"/>
          <w:szCs w:val="23"/>
        </w:rPr>
        <w:t>，</w:t>
      </w:r>
      <w:r w:rsidRPr="003F6232">
        <w:rPr>
          <w:rFonts w:ascii="Times New Roman" w:hAnsi="Times New Roman" w:cs="Times New Roman"/>
          <w:color w:val="000000" w:themeColor="text1"/>
          <w:szCs w:val="23"/>
        </w:rPr>
        <w:t>經遴委會</w:t>
      </w:r>
      <w:r w:rsidRPr="003F6232">
        <w:rPr>
          <w:rFonts w:ascii="Times New Roman" w:hAnsi="Times New Roman" w:cs="Times New Roman"/>
          <w:color w:val="000000" w:themeColor="text1"/>
          <w:sz w:val="23"/>
          <w:szCs w:val="23"/>
        </w:rPr>
        <w:t>初</w:t>
      </w:r>
      <w:r w:rsidRPr="003F6232">
        <w:rPr>
          <w:rFonts w:ascii="Times New Roman" w:hAnsi="Times New Roman" w:cs="Times New Roman"/>
          <w:color w:val="000000" w:themeColor="text1"/>
          <w:sz w:val="23"/>
          <w:szCs w:val="23"/>
        </w:rPr>
        <w:lastRenderedPageBreak/>
        <w:t>審</w:t>
      </w:r>
      <w:r w:rsidRPr="003F6232">
        <w:rPr>
          <w:rFonts w:ascii="Times New Roman" w:hAnsi="Times New Roman" w:cs="Times New Roman"/>
          <w:color w:val="000000" w:themeColor="text1"/>
          <w:szCs w:val="23"/>
        </w:rPr>
        <w:t>並報請教育</w:t>
      </w:r>
      <w:r w:rsidRPr="003F6232">
        <w:rPr>
          <w:rFonts w:ascii="Times New Roman" w:hAnsi="Times New Roman" w:cs="Times New Roman"/>
          <w:color w:val="000000" w:themeColor="text1"/>
          <w:sz w:val="23"/>
          <w:szCs w:val="23"/>
        </w:rPr>
        <w:t>部審查通</w:t>
      </w:r>
      <w:r w:rsidRPr="003F6232">
        <w:rPr>
          <w:rFonts w:ascii="Times New Roman" w:hAnsi="Times New Roman" w:cs="Times New Roman"/>
          <w:color w:val="000000" w:themeColor="text1"/>
          <w:szCs w:val="23"/>
        </w:rPr>
        <w:t>過後</w:t>
      </w:r>
      <w:r w:rsidRPr="003F6232">
        <w:rPr>
          <w:rFonts w:ascii="Times New Roman" w:hAnsi="Times New Roman" w:cs="Times New Roman"/>
          <w:b/>
          <w:bCs/>
          <w:i/>
          <w:iCs/>
          <w:color w:val="000000" w:themeColor="text1"/>
          <w:sz w:val="23"/>
          <w:szCs w:val="23"/>
        </w:rPr>
        <w:t>，</w:t>
      </w:r>
      <w:r w:rsidRPr="003F6232">
        <w:rPr>
          <w:rFonts w:ascii="Times New Roman" w:hAnsi="Times New Roman" w:cs="Times New Roman"/>
          <w:color w:val="000000" w:themeColor="text1"/>
          <w:szCs w:val="23"/>
        </w:rPr>
        <w:t>由聘</w:t>
      </w:r>
      <w:r w:rsidRPr="003F6232">
        <w:rPr>
          <w:rFonts w:ascii="Times New Roman" w:hAnsi="Times New Roman" w:cs="Times New Roman"/>
          <w:color w:val="000000" w:themeColor="text1"/>
          <w:sz w:val="23"/>
          <w:szCs w:val="23"/>
        </w:rPr>
        <w:t>任單位依</w:t>
      </w:r>
      <w:r w:rsidRPr="003F6232">
        <w:rPr>
          <w:rFonts w:ascii="Times New Roman" w:hAnsi="Times New Roman" w:cs="Times New Roman"/>
          <w:color w:val="000000" w:themeColor="text1"/>
          <w:szCs w:val="23"/>
        </w:rPr>
        <w:t>行政程序逕送本</w:t>
      </w:r>
      <w:r w:rsidRPr="003F6232">
        <w:rPr>
          <w:rFonts w:ascii="Times New Roman" w:hAnsi="Times New Roman" w:cs="Times New Roman"/>
          <w:color w:val="000000" w:themeColor="text1"/>
        </w:rPr>
        <w:t>校教師評審</w:t>
      </w:r>
      <w:r w:rsidRPr="003F6232">
        <w:rPr>
          <w:rFonts w:ascii="Times New Roman" w:hAnsi="Times New Roman" w:cs="Times New Roman"/>
          <w:color w:val="000000" w:themeColor="text1"/>
          <w:szCs w:val="23"/>
        </w:rPr>
        <w:t>委員會</w:t>
      </w:r>
      <w:r w:rsidRPr="003F6232">
        <w:rPr>
          <w:rFonts w:ascii="Times New Roman" w:hAnsi="Times New Roman" w:cs="Times New Roman"/>
          <w:color w:val="000000" w:themeColor="text1"/>
          <w:sz w:val="23"/>
          <w:szCs w:val="23"/>
        </w:rPr>
        <w:t>審議。如經教</w:t>
      </w:r>
      <w:r w:rsidRPr="003F6232">
        <w:rPr>
          <w:rFonts w:ascii="Times New Roman" w:hAnsi="Times New Roman" w:cs="Times New Roman"/>
          <w:color w:val="000000" w:themeColor="text1"/>
          <w:szCs w:val="23"/>
        </w:rPr>
        <w:t>育部審查</w:t>
      </w:r>
      <w:r w:rsidRPr="003F6232">
        <w:rPr>
          <w:rFonts w:ascii="Times New Roman" w:hAnsi="Times New Roman" w:cs="Times New Roman"/>
          <w:color w:val="000000" w:themeColor="text1"/>
          <w:sz w:val="23"/>
          <w:szCs w:val="23"/>
        </w:rPr>
        <w:t>未通過</w:t>
      </w:r>
      <w:r w:rsidRPr="003F6232">
        <w:rPr>
          <w:rFonts w:ascii="Times New Roman" w:hAnsi="Times New Roman" w:cs="Times New Roman"/>
          <w:b/>
          <w:bCs/>
          <w:color w:val="000000" w:themeColor="text1"/>
          <w:sz w:val="23"/>
          <w:szCs w:val="23"/>
        </w:rPr>
        <w:t>，</w:t>
      </w:r>
      <w:r w:rsidRPr="003F6232">
        <w:rPr>
          <w:rFonts w:ascii="Times New Roman" w:hAnsi="Times New Roman" w:cs="Times New Roman"/>
          <w:color w:val="000000" w:themeColor="text1"/>
          <w:sz w:val="23"/>
          <w:szCs w:val="23"/>
        </w:rPr>
        <w:t>得由各單</w:t>
      </w:r>
      <w:r w:rsidRPr="003F6232">
        <w:rPr>
          <w:rFonts w:ascii="Times New Roman" w:hAnsi="Times New Roman" w:cs="Times New Roman"/>
          <w:color w:val="000000" w:themeColor="text1"/>
          <w:szCs w:val="23"/>
        </w:rPr>
        <w:t>位自籌</w:t>
      </w:r>
      <w:r w:rsidRPr="003F6232">
        <w:rPr>
          <w:rFonts w:ascii="Times New Roman" w:hAnsi="Times New Roman" w:cs="Times New Roman"/>
          <w:color w:val="000000" w:themeColor="text1"/>
          <w:sz w:val="23"/>
          <w:szCs w:val="23"/>
        </w:rPr>
        <w:t>經費辦理聘任事宜。</w:t>
      </w:r>
    </w:p>
    <w:p w14:paraId="2868F7B7" w14:textId="28492F2D" w:rsidR="005A6F81" w:rsidRPr="003F6232" w:rsidRDefault="00090469" w:rsidP="009316B4">
      <w:pPr>
        <w:pStyle w:val="a3"/>
        <w:snapToGrid w:val="0"/>
        <w:ind w:leftChars="515" w:left="1133" w:right="754"/>
        <w:rPr>
          <w:rFonts w:ascii="Times New Roman" w:hAnsi="Times New Roman" w:cs="Times New Roman"/>
          <w:color w:val="000000" w:themeColor="text1"/>
          <w:sz w:val="23"/>
          <w:szCs w:val="23"/>
        </w:rPr>
      </w:pPr>
      <w:r w:rsidRPr="003F6232">
        <w:rPr>
          <w:rFonts w:ascii="Times New Roman" w:hAnsi="Times New Roman" w:cs="Times New Roman"/>
          <w:color w:val="000000" w:themeColor="text1"/>
          <w:sz w:val="23"/>
          <w:szCs w:val="23"/>
        </w:rPr>
        <w:t>Proposed appointees for project teaching or research positions who do not submit an application for a teacher certificate shall be subject to a preliminary review by the Selection Committee and then referred to the Ministry of Education for review. Candidates who pass the review conducted by the Ministry of Education shall be referred by the appointing unit to the University Faculty Evaluation Committee for review in accordance with administrative procedures. Candidates who fail the Ministry of Education’s review may still be appointed by the unit using its self-raised funds.</w:t>
      </w:r>
    </w:p>
    <w:p w14:paraId="7B63C51D" w14:textId="77777777" w:rsidR="00CE0A8A" w:rsidRPr="003F6232" w:rsidRDefault="00074B48" w:rsidP="009316B4">
      <w:pPr>
        <w:pStyle w:val="a3"/>
        <w:snapToGrid w:val="0"/>
        <w:ind w:left="1134" w:right="756"/>
        <w:rPr>
          <w:rFonts w:ascii="Times New Roman" w:hAnsi="Times New Roman" w:cs="Times New Roman"/>
          <w:color w:val="000000" w:themeColor="text1"/>
        </w:rPr>
      </w:pPr>
      <w:r w:rsidRPr="003F6232">
        <w:rPr>
          <w:rFonts w:ascii="Times New Roman" w:hAnsi="Times New Roman" w:cs="Times New Roman"/>
          <w:color w:val="000000" w:themeColor="text1"/>
        </w:rPr>
        <w:t>國際頂尖人才獲聘為本校編制內教師者，得請頒教師證書。符合升等資格</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條件者，得依本校相關規定辦理升等。</w:t>
      </w:r>
    </w:p>
    <w:p w14:paraId="732BE1F3" w14:textId="65761002" w:rsidR="00074B48" w:rsidRPr="003F6232" w:rsidRDefault="00CE0A8A" w:rsidP="009316B4">
      <w:pPr>
        <w:pStyle w:val="a3"/>
        <w:snapToGrid w:val="0"/>
        <w:ind w:left="1134" w:right="756"/>
        <w:rPr>
          <w:rFonts w:ascii="Times New Roman" w:hAnsi="Times New Roman" w:cs="Times New Roman"/>
          <w:color w:val="000000" w:themeColor="text1"/>
          <w:kern w:val="24"/>
        </w:rPr>
      </w:pPr>
      <w:r w:rsidRPr="003F6232">
        <w:rPr>
          <w:rFonts w:ascii="Times New Roman" w:hAnsi="Times New Roman" w:cs="Times New Roman"/>
          <w:color w:val="000000" w:themeColor="text1"/>
        </w:rPr>
        <w:t>Top global talent who are appointed as quota-based faculty members of the University may request a teacher certificate and shall be eligible for promotion provided that they qualify under the relevant regulations of the University.</w:t>
      </w:r>
    </w:p>
    <w:p w14:paraId="665B13EA" w14:textId="5383213B" w:rsidR="005A6F81" w:rsidRPr="003F6232" w:rsidRDefault="005A6F81" w:rsidP="009316B4">
      <w:pPr>
        <w:pStyle w:val="a3"/>
        <w:snapToGrid w:val="0"/>
        <w:ind w:left="0" w:right="754"/>
        <w:rPr>
          <w:rFonts w:ascii="Times New Roman" w:hAnsi="Times New Roman" w:cs="Times New Roman"/>
          <w:color w:val="000000" w:themeColor="text1"/>
        </w:rPr>
      </w:pPr>
    </w:p>
    <w:p w14:paraId="03777B81" w14:textId="494035B4" w:rsidR="00CE0A8A" w:rsidRPr="003F6232" w:rsidRDefault="005A6F81"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第六條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遴委會置委員至多十五人，由副校長一人，各學院推選相當於本校講座或特聘教授資格之校內委員一人及校外具「人文社會科學」、「理學及工學」</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及「農學、生命科學及醫學」學術領域傑出學者各二人，送請校長圈選，</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校外委員人數不得少於二分之一，以副校長為召集人。</w:t>
      </w:r>
      <w:r w:rsidRPr="003F6232">
        <w:rPr>
          <w:rFonts w:ascii="Times New Roman" w:hAnsi="Times New Roman" w:cs="Times New Roman"/>
          <w:color w:val="000000" w:themeColor="text1"/>
        </w:rPr>
        <w:br/>
      </w:r>
      <w:r w:rsidRPr="003F6232">
        <w:rPr>
          <w:rFonts w:ascii="Times New Roman" w:hAnsi="Times New Roman" w:cs="Times New Roman"/>
          <w:color w:val="000000" w:themeColor="text1"/>
        </w:rPr>
        <w:t>遴委會</w:t>
      </w:r>
      <w:r w:rsidRPr="003F6232">
        <w:rPr>
          <w:rFonts w:ascii="Times New Roman" w:hAnsi="Times New Roman" w:cs="Times New Roman"/>
          <w:color w:val="000000" w:themeColor="text1"/>
          <w:sz w:val="23"/>
          <w:szCs w:val="23"/>
        </w:rPr>
        <w:t>委員任期一年。委員因故解</w:t>
      </w:r>
      <w:r w:rsidRPr="003F6232">
        <w:rPr>
          <w:rFonts w:ascii="Times New Roman" w:hAnsi="Times New Roman" w:cs="Times New Roman"/>
          <w:color w:val="000000" w:themeColor="text1"/>
        </w:rPr>
        <w:t>職所遺缺額，</w:t>
      </w:r>
      <w:r w:rsidRPr="003F6232">
        <w:rPr>
          <w:rFonts w:ascii="Times New Roman" w:hAnsi="Times New Roman" w:cs="Times New Roman"/>
          <w:color w:val="000000" w:themeColor="text1"/>
          <w:sz w:val="23"/>
          <w:szCs w:val="23"/>
        </w:rPr>
        <w:t>由前項校</w:t>
      </w:r>
      <w:r w:rsidRPr="003F6232">
        <w:rPr>
          <w:rFonts w:ascii="Times New Roman" w:hAnsi="Times New Roman" w:cs="Times New Roman"/>
          <w:color w:val="000000" w:themeColor="text1"/>
        </w:rPr>
        <w:t>長圈選之候補委員遞補。</w:t>
      </w:r>
      <w:r w:rsidRPr="003F6232">
        <w:rPr>
          <w:rFonts w:ascii="Times New Roman" w:hAnsi="Times New Roman" w:cs="Times New Roman"/>
          <w:color w:val="000000" w:themeColor="text1"/>
        </w:rPr>
        <w:br/>
      </w:r>
      <w:r w:rsidRPr="003F6232">
        <w:rPr>
          <w:rFonts w:ascii="Times New Roman" w:hAnsi="Times New Roman" w:cs="Times New Roman"/>
          <w:color w:val="000000" w:themeColor="text1"/>
        </w:rPr>
        <w:t>遴委會開會時，應有委員三分之二以上出席及參加表決委員二分之一以上</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通過始得決議。如遇有師生關係、三親等內血親、姻親、學術合作關係或</w:t>
      </w:r>
      <w:r w:rsidRPr="003F6232">
        <w:rPr>
          <w:rFonts w:ascii="Times New Roman" w:hAnsi="Times New Roman" w:cs="Times New Roman"/>
          <w:color w:val="000000" w:themeColor="text1"/>
        </w:rPr>
        <w:t xml:space="preserve"> </w:t>
      </w:r>
      <w:r w:rsidRPr="003F6232">
        <w:rPr>
          <w:rFonts w:ascii="Times New Roman" w:hAnsi="Times New Roman" w:cs="Times New Roman"/>
          <w:color w:val="000000" w:themeColor="text1"/>
        </w:rPr>
        <w:t>相關利害關係人，應自行迴避。迴避委員不計入參加表決人數。</w:t>
      </w:r>
    </w:p>
    <w:p w14:paraId="633FF0BE" w14:textId="450791E8" w:rsidR="005A6F81"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6</w:t>
      </w:r>
      <w:r w:rsidRPr="003F6232">
        <w:rPr>
          <w:rFonts w:ascii="Times New Roman" w:hAnsi="Times New Roman" w:cs="Times New Roman"/>
          <w:color w:val="000000" w:themeColor="text1"/>
        </w:rPr>
        <w:tab/>
        <w:t>The Selection Committee shall be composed of up to 15 members, including a Senior Vice President as an ex officio member and convener. Each college shall nominate one internal member who meets the qualifications equivalent to those of a chair professor or distinguished professor of the University and two external outstanding scholars in each of the following three academic fields: Humanities and Social Sciences; Science and Engineering; and Agriculture, Life Sciences, and Medicine. The list of candidates shall be presented to the President for selection. The number of external members shall be no less than one-half of the total number of members.</w:t>
      </w:r>
    </w:p>
    <w:p w14:paraId="4BAAE787" w14:textId="77777777" w:rsidR="003871BD" w:rsidRPr="003F6232" w:rsidRDefault="003871BD" w:rsidP="003871BD">
      <w:pPr>
        <w:pStyle w:val="a3"/>
        <w:snapToGrid w:val="0"/>
        <w:ind w:leftChars="515" w:left="1133" w:right="754"/>
        <w:rPr>
          <w:rFonts w:ascii="Times New Roman" w:hAnsi="Times New Roman" w:cs="Times New Roman"/>
          <w:color w:val="000000" w:themeColor="text1"/>
        </w:rPr>
      </w:pPr>
      <w:r w:rsidRPr="003F6232">
        <w:rPr>
          <w:rFonts w:ascii="Times New Roman" w:hAnsi="Times New Roman" w:cs="Times New Roman"/>
          <w:color w:val="000000" w:themeColor="text1"/>
        </w:rPr>
        <w:t>The term of office for Selection Committee members shall be one year. Any vacancies arising from the dismissal or resignation of a member shall be filled by alternates selected by the President pursuant to the preceding paragraph.</w:t>
      </w:r>
    </w:p>
    <w:p w14:paraId="7793C04B" w14:textId="7680F4B7" w:rsidR="008253DB" w:rsidRPr="003F6232" w:rsidRDefault="003871BD" w:rsidP="003871BD">
      <w:pPr>
        <w:pStyle w:val="a3"/>
        <w:snapToGrid w:val="0"/>
        <w:ind w:leftChars="515" w:left="1133" w:right="754"/>
        <w:rPr>
          <w:rFonts w:ascii="Times New Roman" w:hAnsi="Times New Roman" w:cs="Times New Roman"/>
          <w:color w:val="000000" w:themeColor="text1"/>
        </w:rPr>
      </w:pPr>
      <w:r w:rsidRPr="003F6232">
        <w:rPr>
          <w:rFonts w:ascii="Times New Roman" w:hAnsi="Times New Roman" w:cs="Times New Roman"/>
          <w:color w:val="000000" w:themeColor="text1"/>
        </w:rPr>
        <w:t>The Selection Committee may only convene with at least two-thirds of its members in attendance, and a resolution may only be passed with one-half of the attending members in concurrence. If a member has a teacher–student relationship, a kinship within the third degree of consanguinity or affinity, academic collaboration, or any other relevant conflict of interest with the case under review, they shall voluntarily recuse themselves. Members who recuse themselves shall be excluded from the calculation of quorums.</w:t>
      </w:r>
    </w:p>
    <w:p w14:paraId="781B8AA4" w14:textId="77777777" w:rsidR="005A6F81" w:rsidRPr="003F6232" w:rsidRDefault="005A6F81" w:rsidP="009316B4">
      <w:pPr>
        <w:pStyle w:val="a3"/>
        <w:snapToGrid w:val="0"/>
        <w:ind w:left="1134" w:right="754"/>
        <w:rPr>
          <w:rFonts w:ascii="Times New Roman" w:hAnsi="Times New Roman" w:cs="Times New Roman"/>
          <w:color w:val="000000" w:themeColor="text1"/>
        </w:rPr>
      </w:pPr>
    </w:p>
    <w:p w14:paraId="33E38D50" w14:textId="77777777" w:rsidR="00CE0A8A" w:rsidRPr="003F6232" w:rsidRDefault="005057D4"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第七條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獲教育部審查通過之國際頂尖人才，除依本校編制內專任教師及研究人員規定辦理外，並享有下列優遇事項：</w:t>
      </w:r>
    </w:p>
    <w:p w14:paraId="70030863" w14:textId="5353CD50" w:rsidR="005057D4"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7</w:t>
      </w:r>
      <w:r w:rsidRPr="003F6232">
        <w:rPr>
          <w:rFonts w:ascii="Times New Roman" w:hAnsi="Times New Roman" w:cs="Times New Roman"/>
          <w:color w:val="000000" w:themeColor="text1"/>
        </w:rPr>
        <w:tab/>
        <w:t>In addition to benefits granted to quota-based full-time faculty members and research personnel at the University, top global talent who pass the Ministry of Education’s review shall be entitled to the following preferential benefits:</w:t>
      </w:r>
    </w:p>
    <w:p w14:paraId="754A52BA" w14:textId="77777777" w:rsidR="00B14D5C" w:rsidRPr="003F6232" w:rsidRDefault="005057D4" w:rsidP="009316B4">
      <w:pPr>
        <w:pStyle w:val="a3"/>
        <w:numPr>
          <w:ilvl w:val="0"/>
          <w:numId w:val="5"/>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非法定薪資：</w:t>
      </w:r>
    </w:p>
    <w:p w14:paraId="3F6AF613" w14:textId="3F54A7FA" w:rsidR="005057D4" w:rsidRPr="003F6232" w:rsidRDefault="00CE0A8A" w:rsidP="00B14D5C">
      <w:pPr>
        <w:pStyle w:val="a3"/>
        <w:numPr>
          <w:ilvl w:val="0"/>
          <w:numId w:val="11"/>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Non-statutory salary:</w:t>
      </w:r>
    </w:p>
    <w:p w14:paraId="42C7F9D4" w14:textId="77777777" w:rsidR="00B14D5C" w:rsidRPr="003F6232" w:rsidRDefault="005057D4" w:rsidP="009316B4">
      <w:pPr>
        <w:pStyle w:val="a3"/>
        <w:numPr>
          <w:ilvl w:val="0"/>
          <w:numId w:val="6"/>
        </w:numPr>
        <w:snapToGrid w:val="0"/>
        <w:ind w:left="2552" w:right="756" w:hanging="764"/>
        <w:rPr>
          <w:rFonts w:ascii="Times New Roman" w:hAnsi="Times New Roman" w:cs="Times New Roman"/>
          <w:color w:val="000000" w:themeColor="text1"/>
        </w:rPr>
      </w:pPr>
      <w:r w:rsidRPr="003F6232">
        <w:rPr>
          <w:rFonts w:ascii="Times New Roman" w:hAnsi="Times New Roman" w:cs="Times New Roman"/>
          <w:color w:val="000000" w:themeColor="text1"/>
        </w:rPr>
        <w:lastRenderedPageBreak/>
        <w:t>玉山學者：每年至多五百萬元與行政及業務費最高一百五十萬元，短期交流人員按實際服務時間比例核給。</w:t>
      </w:r>
    </w:p>
    <w:p w14:paraId="635BA9B4" w14:textId="0CC8217F" w:rsidR="005057D4" w:rsidRPr="003F6232" w:rsidRDefault="00CE0A8A" w:rsidP="00B14D5C">
      <w:pPr>
        <w:pStyle w:val="a3"/>
        <w:numPr>
          <w:ilvl w:val="0"/>
          <w:numId w:val="12"/>
        </w:numPr>
        <w:snapToGrid w:val="0"/>
        <w:ind w:left="2552"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Yushan Scholar: Up to NT$5 million per year, plus an administrative and business expense budget of up to NT$1.5 million per year, prorated for short-term visiting personnel according to the actual duration of service.</w:t>
      </w:r>
    </w:p>
    <w:p w14:paraId="13091AED" w14:textId="77777777" w:rsidR="00B14D5C" w:rsidRPr="003F6232" w:rsidRDefault="005057D4" w:rsidP="009316B4">
      <w:pPr>
        <w:pStyle w:val="a3"/>
        <w:numPr>
          <w:ilvl w:val="0"/>
          <w:numId w:val="6"/>
        </w:numPr>
        <w:snapToGrid w:val="0"/>
        <w:ind w:left="2552" w:right="756" w:hanging="764"/>
        <w:rPr>
          <w:rFonts w:ascii="Times New Roman" w:hAnsi="Times New Roman" w:cs="Times New Roman"/>
          <w:color w:val="000000" w:themeColor="text1"/>
        </w:rPr>
      </w:pPr>
      <w:r w:rsidRPr="003F6232">
        <w:rPr>
          <w:rFonts w:ascii="Times New Roman" w:hAnsi="Times New Roman" w:cs="Times New Roman"/>
          <w:color w:val="000000" w:themeColor="text1"/>
        </w:rPr>
        <w:t>玉山青年學者：每年至多一百五十萬元與行政及業務費最高一百五十萬元。</w:t>
      </w:r>
    </w:p>
    <w:p w14:paraId="7739CABE" w14:textId="5F5ABBDB" w:rsidR="005057D4" w:rsidRPr="003F6232" w:rsidRDefault="00CE0A8A" w:rsidP="00B14D5C">
      <w:pPr>
        <w:pStyle w:val="a3"/>
        <w:numPr>
          <w:ilvl w:val="0"/>
          <w:numId w:val="12"/>
        </w:numPr>
        <w:snapToGrid w:val="0"/>
        <w:ind w:left="2552"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Yushan Young Fellow: Up to NT$1.5 million per year, plus an administrative and business expense budget of up to NT$1.5 million per year.</w:t>
      </w:r>
    </w:p>
    <w:p w14:paraId="21FF259E" w14:textId="77777777" w:rsidR="00B14D5C" w:rsidRPr="003F6232" w:rsidRDefault="005057D4" w:rsidP="009316B4">
      <w:pPr>
        <w:pStyle w:val="a3"/>
        <w:numPr>
          <w:ilvl w:val="0"/>
          <w:numId w:val="5"/>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不受本校教師授課時數及超支鐘點費核計辦法有關基本授課時數之規定。</w:t>
      </w:r>
    </w:p>
    <w:p w14:paraId="3330B9FE" w14:textId="5452D4F2" w:rsidR="005057D4" w:rsidRPr="003F6232" w:rsidRDefault="00CE0A8A" w:rsidP="00B14D5C">
      <w:pPr>
        <w:pStyle w:val="a3"/>
        <w:numPr>
          <w:ilvl w:val="0"/>
          <w:numId w:val="11"/>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Exemption from the minimum teaching hour requirements stipulated in the University’s Regulations for the Calculation of Faculty Teaching Hours and Overtime Hourly Lecture Fees.</w:t>
      </w:r>
    </w:p>
    <w:p w14:paraId="4F34AB44" w14:textId="77777777" w:rsidR="00B14D5C" w:rsidRPr="003F6232" w:rsidRDefault="005057D4" w:rsidP="009316B4">
      <w:pPr>
        <w:pStyle w:val="a3"/>
        <w:numPr>
          <w:ilvl w:val="0"/>
          <w:numId w:val="5"/>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免依本校教師評鑑準則之規定辦理教師評鑑，惟達教育部核定補助經費之期限屆滿前八個月應繳交成果報告函送教育部。</w:t>
      </w:r>
    </w:p>
    <w:p w14:paraId="412675C7" w14:textId="329B2D4A" w:rsidR="005057D4" w:rsidRPr="003F6232" w:rsidRDefault="00CE0A8A" w:rsidP="00B14D5C">
      <w:pPr>
        <w:pStyle w:val="a3"/>
        <w:numPr>
          <w:ilvl w:val="0"/>
          <w:numId w:val="11"/>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Exemption from faculty evaluations under the University’s Faculty Evaluation Guidelines; however, a report shall be submitted to the Ministry of Education eight months prior to the conclusion of the approved subsidy period.</w:t>
      </w:r>
    </w:p>
    <w:p w14:paraId="5EC9788B" w14:textId="77777777" w:rsidR="00B14D5C" w:rsidRPr="003F6232" w:rsidRDefault="005057D4" w:rsidP="009316B4">
      <w:pPr>
        <w:pStyle w:val="a3"/>
        <w:numPr>
          <w:ilvl w:val="0"/>
          <w:numId w:val="5"/>
        </w:numPr>
        <w:snapToGrid w:val="0"/>
        <w:ind w:left="1843" w:right="756" w:hanging="709"/>
        <w:rPr>
          <w:rFonts w:ascii="Times New Roman" w:hAnsi="Times New Roman" w:cs="Times New Roman"/>
          <w:color w:val="000000" w:themeColor="text1"/>
        </w:rPr>
      </w:pPr>
      <w:r w:rsidRPr="003F6232">
        <w:rPr>
          <w:rFonts w:ascii="Times New Roman" w:hAnsi="Times New Roman" w:cs="Times New Roman"/>
          <w:color w:val="000000" w:themeColor="text1"/>
        </w:rPr>
        <w:t>提供教學或研究所需經費與設備、行政或教學研究助理人事費、教師及其親屬住宿與搬遷費、子女教育協助等事項。</w:t>
      </w:r>
    </w:p>
    <w:p w14:paraId="1F50AB9B" w14:textId="72224D73" w:rsidR="008253DB" w:rsidRPr="003F6232" w:rsidRDefault="00CE0A8A" w:rsidP="00B14D5C">
      <w:pPr>
        <w:pStyle w:val="a3"/>
        <w:numPr>
          <w:ilvl w:val="0"/>
          <w:numId w:val="11"/>
        </w:numPr>
        <w:snapToGrid w:val="0"/>
        <w:ind w:left="1843" w:right="756" w:hanging="567"/>
        <w:rPr>
          <w:rFonts w:ascii="Times New Roman" w:hAnsi="Times New Roman" w:cs="Times New Roman"/>
          <w:color w:val="000000" w:themeColor="text1"/>
        </w:rPr>
      </w:pPr>
      <w:r w:rsidRPr="003F6232">
        <w:rPr>
          <w:rFonts w:ascii="Times New Roman" w:hAnsi="Times New Roman" w:cs="Times New Roman"/>
          <w:color w:val="000000" w:themeColor="text1"/>
        </w:rPr>
        <w:t>Provision of necessary funding and equipment for teaching or research; personnel funding for administrative or teaching/research assistants; housing and moving subsidies for faculty members and their dependent family members; as well as educational support for faculty members’ children.</w:t>
      </w:r>
    </w:p>
    <w:p w14:paraId="633B510D" w14:textId="77777777" w:rsidR="005057D4" w:rsidRPr="003F6232" w:rsidRDefault="005057D4" w:rsidP="009316B4">
      <w:pPr>
        <w:pStyle w:val="a3"/>
        <w:snapToGrid w:val="0"/>
        <w:ind w:leftChars="700" w:left="1540" w:right="756"/>
        <w:rPr>
          <w:rFonts w:ascii="Times New Roman" w:hAnsi="Times New Roman" w:cs="Times New Roman"/>
          <w:color w:val="000000" w:themeColor="text1"/>
        </w:rPr>
      </w:pPr>
    </w:p>
    <w:p w14:paraId="3BAD51C8" w14:textId="77777777" w:rsidR="00CE0A8A" w:rsidRPr="003F6232" w:rsidRDefault="005057D4"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第八條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本辦法如有未盡事宜，悉依教育部及本校相關規定辦理。</w:t>
      </w:r>
    </w:p>
    <w:p w14:paraId="46337754" w14:textId="7E5F84D9" w:rsidR="005057D4"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8</w:t>
      </w:r>
      <w:r w:rsidRPr="003F6232">
        <w:rPr>
          <w:rFonts w:ascii="Times New Roman" w:hAnsi="Times New Roman" w:cs="Times New Roman"/>
          <w:color w:val="000000" w:themeColor="text1"/>
        </w:rPr>
        <w:tab/>
        <w:t>Matters unaddressed herein shall be subject to the relevant regulations of the University and the Ministry of Education.</w:t>
      </w:r>
    </w:p>
    <w:p w14:paraId="4D8AD085" w14:textId="77777777" w:rsidR="005057D4" w:rsidRPr="003F6232" w:rsidRDefault="005057D4" w:rsidP="009316B4">
      <w:pPr>
        <w:pStyle w:val="a3"/>
        <w:snapToGrid w:val="0"/>
        <w:ind w:leftChars="500" w:left="1100" w:right="754"/>
        <w:rPr>
          <w:rFonts w:ascii="Times New Roman" w:hAnsi="Times New Roman" w:cs="Times New Roman"/>
          <w:color w:val="000000" w:themeColor="text1"/>
        </w:rPr>
      </w:pPr>
    </w:p>
    <w:p w14:paraId="199F4D7C" w14:textId="7AEDB492" w:rsidR="00CE0A8A"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第九條</w:t>
      </w:r>
      <w:r w:rsidRPr="003F6232">
        <w:rPr>
          <w:rFonts w:ascii="Times New Roman" w:hAnsi="Times New Roman" w:cs="Times New Roman"/>
          <w:color w:val="000000" w:themeColor="text1"/>
        </w:rPr>
        <w:tab/>
      </w:r>
      <w:r w:rsidRPr="003F6232">
        <w:rPr>
          <w:rFonts w:ascii="Times New Roman" w:hAnsi="Times New Roman" w:cs="Times New Roman"/>
          <w:color w:val="000000" w:themeColor="text1"/>
        </w:rPr>
        <w:t>本辦法經校務會議通過後實施，修正時亦同。</w:t>
      </w:r>
    </w:p>
    <w:p w14:paraId="0498DB6E" w14:textId="3AD61C4D" w:rsidR="00D02AB0" w:rsidRPr="003F6232" w:rsidRDefault="00B14D5C" w:rsidP="009316B4">
      <w:pPr>
        <w:pStyle w:val="a3"/>
        <w:snapToGrid w:val="0"/>
        <w:ind w:left="1134" w:right="756" w:hanging="1134"/>
        <w:rPr>
          <w:rFonts w:ascii="Times New Roman" w:hAnsi="Times New Roman" w:cs="Times New Roman"/>
          <w:color w:val="000000" w:themeColor="text1"/>
        </w:rPr>
      </w:pPr>
      <w:r w:rsidRPr="003F6232">
        <w:rPr>
          <w:rFonts w:ascii="Times New Roman" w:hAnsi="Times New Roman" w:cs="Times New Roman"/>
          <w:color w:val="000000" w:themeColor="text1"/>
        </w:rPr>
        <w:t>Article 9</w:t>
      </w:r>
      <w:r w:rsidRPr="003F6232">
        <w:rPr>
          <w:rFonts w:ascii="Times New Roman" w:hAnsi="Times New Roman" w:cs="Times New Roman"/>
          <w:color w:val="000000" w:themeColor="text1"/>
        </w:rPr>
        <w:tab/>
        <w:t>These Regulations and any amendments made hereto shall be implemented upon passage by the University Council.</w:t>
      </w:r>
    </w:p>
    <w:p w14:paraId="65114FA5" w14:textId="77777777" w:rsidR="00425540" w:rsidRPr="003F6232" w:rsidRDefault="00425540" w:rsidP="007701FB">
      <w:pPr>
        <w:pStyle w:val="a3"/>
        <w:snapToGrid w:val="0"/>
        <w:ind w:left="0"/>
        <w:rPr>
          <w:rFonts w:ascii="Times New Roman" w:hAnsi="Times New Roman" w:cs="Times New Roman"/>
          <w:sz w:val="20"/>
        </w:rPr>
      </w:pPr>
      <w:bookmarkStart w:id="0" w:name="_GoBack"/>
      <w:bookmarkEnd w:id="0"/>
    </w:p>
    <w:sectPr w:rsidR="00425540" w:rsidRPr="003F6232">
      <w:headerReference w:type="even" r:id="rId8"/>
      <w:headerReference w:type="default" r:id="rId9"/>
      <w:footerReference w:type="even" r:id="rId10"/>
      <w:footerReference w:type="default" r:id="rId11"/>
      <w:headerReference w:type="first" r:id="rId12"/>
      <w:footerReference w:type="first" r:id="rId13"/>
      <w:pgSz w:w="11910" w:h="16840"/>
      <w:pgMar w:top="1280" w:right="5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6FC6" w14:textId="77777777" w:rsidR="003B0EBB" w:rsidRPr="00CE0A8A" w:rsidRDefault="003B0EBB" w:rsidP="00993B3F">
      <w:r>
        <w:separator/>
      </w:r>
    </w:p>
  </w:endnote>
  <w:endnote w:type="continuationSeparator" w:id="0">
    <w:p w14:paraId="036C9225" w14:textId="77777777" w:rsidR="003B0EBB" w:rsidRPr="00CE0A8A" w:rsidRDefault="003B0EBB" w:rsidP="0099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9EA28" w14:textId="77777777" w:rsidR="003F6232" w:rsidRDefault="003F623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DDDB" w14:textId="77777777" w:rsidR="003F6232" w:rsidRDefault="003F62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1F4F" w14:textId="77777777" w:rsidR="003F6232" w:rsidRDefault="003F62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AFFA7" w14:textId="77777777" w:rsidR="003B0EBB" w:rsidRPr="00CE0A8A" w:rsidRDefault="003B0EBB" w:rsidP="00993B3F">
      <w:r>
        <w:separator/>
      </w:r>
    </w:p>
  </w:footnote>
  <w:footnote w:type="continuationSeparator" w:id="0">
    <w:p w14:paraId="5E7D4237" w14:textId="77777777" w:rsidR="003B0EBB" w:rsidRPr="00CE0A8A" w:rsidRDefault="003B0EBB" w:rsidP="0099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63269" w14:textId="77777777" w:rsidR="003F6232" w:rsidRDefault="003F623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F1A79" w14:textId="77777777" w:rsidR="003F6232" w:rsidRDefault="003F623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27748" w14:textId="77777777" w:rsidR="003F6232" w:rsidRDefault="003F623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66716"/>
    <w:multiLevelType w:val="hybridMultilevel"/>
    <w:tmpl w:val="0424220E"/>
    <w:lvl w:ilvl="0" w:tplc="37D41676">
      <w:start w:val="1"/>
      <w:numFmt w:val="taiwaneseCountingThousand"/>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 w15:restartNumberingAfterBreak="0">
    <w:nsid w:val="10832855"/>
    <w:multiLevelType w:val="hybridMultilevel"/>
    <w:tmpl w:val="7EC26D9C"/>
    <w:lvl w:ilvl="0" w:tplc="FFFFFFFF">
      <w:start w:val="1"/>
      <w:numFmt w:val="upperRoman"/>
      <w:lvlText w:val="%1."/>
      <w:lvlJc w:val="left"/>
      <w:pPr>
        <w:ind w:left="2323" w:hanging="480"/>
      </w:pPr>
    </w:lvl>
    <w:lvl w:ilvl="1" w:tplc="FFFFFFFF" w:tentative="1">
      <w:start w:val="1"/>
      <w:numFmt w:val="ideographTraditional"/>
      <w:lvlText w:val="%2、"/>
      <w:lvlJc w:val="left"/>
      <w:pPr>
        <w:ind w:left="2803" w:hanging="480"/>
      </w:pPr>
    </w:lvl>
    <w:lvl w:ilvl="2" w:tplc="FFFFFFFF" w:tentative="1">
      <w:start w:val="1"/>
      <w:numFmt w:val="lowerRoman"/>
      <w:lvlText w:val="%3."/>
      <w:lvlJc w:val="right"/>
      <w:pPr>
        <w:ind w:left="3283" w:hanging="480"/>
      </w:pPr>
    </w:lvl>
    <w:lvl w:ilvl="3" w:tplc="FFFFFFFF" w:tentative="1">
      <w:start w:val="1"/>
      <w:numFmt w:val="decimal"/>
      <w:lvlText w:val="%4."/>
      <w:lvlJc w:val="left"/>
      <w:pPr>
        <w:ind w:left="3763" w:hanging="480"/>
      </w:pPr>
    </w:lvl>
    <w:lvl w:ilvl="4" w:tplc="FFFFFFFF" w:tentative="1">
      <w:start w:val="1"/>
      <w:numFmt w:val="ideographTraditional"/>
      <w:lvlText w:val="%5、"/>
      <w:lvlJc w:val="left"/>
      <w:pPr>
        <w:ind w:left="4243" w:hanging="480"/>
      </w:pPr>
    </w:lvl>
    <w:lvl w:ilvl="5" w:tplc="FFFFFFFF" w:tentative="1">
      <w:start w:val="1"/>
      <w:numFmt w:val="lowerRoman"/>
      <w:lvlText w:val="%6."/>
      <w:lvlJc w:val="right"/>
      <w:pPr>
        <w:ind w:left="4723" w:hanging="480"/>
      </w:pPr>
    </w:lvl>
    <w:lvl w:ilvl="6" w:tplc="FFFFFFFF" w:tentative="1">
      <w:start w:val="1"/>
      <w:numFmt w:val="decimal"/>
      <w:lvlText w:val="%7."/>
      <w:lvlJc w:val="left"/>
      <w:pPr>
        <w:ind w:left="5203" w:hanging="480"/>
      </w:pPr>
    </w:lvl>
    <w:lvl w:ilvl="7" w:tplc="FFFFFFFF" w:tentative="1">
      <w:start w:val="1"/>
      <w:numFmt w:val="ideographTraditional"/>
      <w:lvlText w:val="%8、"/>
      <w:lvlJc w:val="left"/>
      <w:pPr>
        <w:ind w:left="5683" w:hanging="480"/>
      </w:pPr>
    </w:lvl>
    <w:lvl w:ilvl="8" w:tplc="FFFFFFFF" w:tentative="1">
      <w:start w:val="1"/>
      <w:numFmt w:val="lowerRoman"/>
      <w:lvlText w:val="%9."/>
      <w:lvlJc w:val="right"/>
      <w:pPr>
        <w:ind w:left="6163" w:hanging="480"/>
      </w:pPr>
    </w:lvl>
  </w:abstractNum>
  <w:abstractNum w:abstractNumId="2" w15:restartNumberingAfterBreak="0">
    <w:nsid w:val="172C2D95"/>
    <w:multiLevelType w:val="hybridMultilevel"/>
    <w:tmpl w:val="7EC26D9C"/>
    <w:lvl w:ilvl="0" w:tplc="FFFFFFFF">
      <w:start w:val="1"/>
      <w:numFmt w:val="upperRoman"/>
      <w:lvlText w:val="%1."/>
      <w:lvlJc w:val="left"/>
      <w:pPr>
        <w:ind w:left="2323" w:hanging="480"/>
      </w:pPr>
    </w:lvl>
    <w:lvl w:ilvl="1" w:tplc="FFFFFFFF" w:tentative="1">
      <w:start w:val="1"/>
      <w:numFmt w:val="ideographTraditional"/>
      <w:lvlText w:val="%2、"/>
      <w:lvlJc w:val="left"/>
      <w:pPr>
        <w:ind w:left="2803" w:hanging="480"/>
      </w:pPr>
    </w:lvl>
    <w:lvl w:ilvl="2" w:tplc="FFFFFFFF" w:tentative="1">
      <w:start w:val="1"/>
      <w:numFmt w:val="lowerRoman"/>
      <w:lvlText w:val="%3."/>
      <w:lvlJc w:val="right"/>
      <w:pPr>
        <w:ind w:left="3283" w:hanging="480"/>
      </w:pPr>
    </w:lvl>
    <w:lvl w:ilvl="3" w:tplc="FFFFFFFF" w:tentative="1">
      <w:start w:val="1"/>
      <w:numFmt w:val="decimal"/>
      <w:lvlText w:val="%4."/>
      <w:lvlJc w:val="left"/>
      <w:pPr>
        <w:ind w:left="3763" w:hanging="480"/>
      </w:pPr>
    </w:lvl>
    <w:lvl w:ilvl="4" w:tplc="FFFFFFFF" w:tentative="1">
      <w:start w:val="1"/>
      <w:numFmt w:val="ideographTraditional"/>
      <w:lvlText w:val="%5、"/>
      <w:lvlJc w:val="left"/>
      <w:pPr>
        <w:ind w:left="4243" w:hanging="480"/>
      </w:pPr>
    </w:lvl>
    <w:lvl w:ilvl="5" w:tplc="FFFFFFFF" w:tentative="1">
      <w:start w:val="1"/>
      <w:numFmt w:val="lowerRoman"/>
      <w:lvlText w:val="%6."/>
      <w:lvlJc w:val="right"/>
      <w:pPr>
        <w:ind w:left="4723" w:hanging="480"/>
      </w:pPr>
    </w:lvl>
    <w:lvl w:ilvl="6" w:tplc="FFFFFFFF" w:tentative="1">
      <w:start w:val="1"/>
      <w:numFmt w:val="decimal"/>
      <w:lvlText w:val="%7."/>
      <w:lvlJc w:val="left"/>
      <w:pPr>
        <w:ind w:left="5203" w:hanging="480"/>
      </w:pPr>
    </w:lvl>
    <w:lvl w:ilvl="7" w:tplc="FFFFFFFF" w:tentative="1">
      <w:start w:val="1"/>
      <w:numFmt w:val="ideographTraditional"/>
      <w:lvlText w:val="%8、"/>
      <w:lvlJc w:val="left"/>
      <w:pPr>
        <w:ind w:left="5683" w:hanging="480"/>
      </w:pPr>
    </w:lvl>
    <w:lvl w:ilvl="8" w:tplc="FFFFFFFF" w:tentative="1">
      <w:start w:val="1"/>
      <w:numFmt w:val="lowerRoman"/>
      <w:lvlText w:val="%9."/>
      <w:lvlJc w:val="right"/>
      <w:pPr>
        <w:ind w:left="6163" w:hanging="480"/>
      </w:pPr>
    </w:lvl>
  </w:abstractNum>
  <w:abstractNum w:abstractNumId="3" w15:restartNumberingAfterBreak="0">
    <w:nsid w:val="1A253DD3"/>
    <w:multiLevelType w:val="hybridMultilevel"/>
    <w:tmpl w:val="842ACABA"/>
    <w:lvl w:ilvl="0" w:tplc="8BE69898">
      <w:start w:val="1"/>
      <w:numFmt w:val="taiwaneseCountingThousand"/>
      <w:lvlText w:val="%1、"/>
      <w:lvlJc w:val="left"/>
      <w:pPr>
        <w:ind w:left="1500" w:hanging="48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4" w15:restartNumberingAfterBreak="0">
    <w:nsid w:val="28C30537"/>
    <w:multiLevelType w:val="hybridMultilevel"/>
    <w:tmpl w:val="6CDEE298"/>
    <w:lvl w:ilvl="0" w:tplc="D1B6CA02">
      <w:start w:val="1"/>
      <w:numFmt w:val="taiwaneseCountingThousand"/>
      <w:lvlText w:val="(%1)"/>
      <w:lvlJc w:val="left"/>
      <w:pPr>
        <w:ind w:left="1480" w:hanging="48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 w15:restartNumberingAfterBreak="0">
    <w:nsid w:val="3DF22879"/>
    <w:multiLevelType w:val="hybridMultilevel"/>
    <w:tmpl w:val="7EC26D9C"/>
    <w:lvl w:ilvl="0" w:tplc="FFFFFFFF">
      <w:start w:val="1"/>
      <w:numFmt w:val="upperRoman"/>
      <w:lvlText w:val="%1."/>
      <w:lvlJc w:val="left"/>
      <w:pPr>
        <w:ind w:left="2323" w:hanging="480"/>
      </w:pPr>
    </w:lvl>
    <w:lvl w:ilvl="1" w:tplc="FFFFFFFF" w:tentative="1">
      <w:start w:val="1"/>
      <w:numFmt w:val="ideographTraditional"/>
      <w:lvlText w:val="%2、"/>
      <w:lvlJc w:val="left"/>
      <w:pPr>
        <w:ind w:left="2803" w:hanging="480"/>
      </w:pPr>
    </w:lvl>
    <w:lvl w:ilvl="2" w:tplc="FFFFFFFF" w:tentative="1">
      <w:start w:val="1"/>
      <w:numFmt w:val="lowerRoman"/>
      <w:lvlText w:val="%3."/>
      <w:lvlJc w:val="right"/>
      <w:pPr>
        <w:ind w:left="3283" w:hanging="480"/>
      </w:pPr>
    </w:lvl>
    <w:lvl w:ilvl="3" w:tplc="FFFFFFFF" w:tentative="1">
      <w:start w:val="1"/>
      <w:numFmt w:val="decimal"/>
      <w:lvlText w:val="%4."/>
      <w:lvlJc w:val="left"/>
      <w:pPr>
        <w:ind w:left="3763" w:hanging="480"/>
      </w:pPr>
    </w:lvl>
    <w:lvl w:ilvl="4" w:tplc="FFFFFFFF" w:tentative="1">
      <w:start w:val="1"/>
      <w:numFmt w:val="ideographTraditional"/>
      <w:lvlText w:val="%5、"/>
      <w:lvlJc w:val="left"/>
      <w:pPr>
        <w:ind w:left="4243" w:hanging="480"/>
      </w:pPr>
    </w:lvl>
    <w:lvl w:ilvl="5" w:tplc="FFFFFFFF" w:tentative="1">
      <w:start w:val="1"/>
      <w:numFmt w:val="lowerRoman"/>
      <w:lvlText w:val="%6."/>
      <w:lvlJc w:val="right"/>
      <w:pPr>
        <w:ind w:left="4723" w:hanging="480"/>
      </w:pPr>
    </w:lvl>
    <w:lvl w:ilvl="6" w:tplc="FFFFFFFF" w:tentative="1">
      <w:start w:val="1"/>
      <w:numFmt w:val="decimal"/>
      <w:lvlText w:val="%7."/>
      <w:lvlJc w:val="left"/>
      <w:pPr>
        <w:ind w:left="5203" w:hanging="480"/>
      </w:pPr>
    </w:lvl>
    <w:lvl w:ilvl="7" w:tplc="FFFFFFFF" w:tentative="1">
      <w:start w:val="1"/>
      <w:numFmt w:val="ideographTraditional"/>
      <w:lvlText w:val="%8、"/>
      <w:lvlJc w:val="left"/>
      <w:pPr>
        <w:ind w:left="5683" w:hanging="480"/>
      </w:pPr>
    </w:lvl>
    <w:lvl w:ilvl="8" w:tplc="FFFFFFFF" w:tentative="1">
      <w:start w:val="1"/>
      <w:numFmt w:val="lowerRoman"/>
      <w:lvlText w:val="%9."/>
      <w:lvlJc w:val="right"/>
      <w:pPr>
        <w:ind w:left="6163" w:hanging="480"/>
      </w:pPr>
    </w:lvl>
  </w:abstractNum>
  <w:abstractNum w:abstractNumId="6" w15:restartNumberingAfterBreak="0">
    <w:nsid w:val="3F0C6F75"/>
    <w:multiLevelType w:val="hybridMultilevel"/>
    <w:tmpl w:val="9C889658"/>
    <w:lvl w:ilvl="0" w:tplc="6F08094A">
      <w:start w:val="1"/>
      <w:numFmt w:val="taiwaneseCountingThousand"/>
      <w:lvlText w:val="%1、"/>
      <w:lvlJc w:val="left"/>
      <w:pPr>
        <w:ind w:left="1660" w:hanging="48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7" w15:restartNumberingAfterBreak="0">
    <w:nsid w:val="4B4D02B2"/>
    <w:multiLevelType w:val="hybridMultilevel"/>
    <w:tmpl w:val="19E6F014"/>
    <w:lvl w:ilvl="0" w:tplc="C7F81E96">
      <w:start w:val="1"/>
      <w:numFmt w:val="upperRoman"/>
      <w:lvlText w:val="(%1)"/>
      <w:lvlJc w:val="left"/>
      <w:pPr>
        <w:ind w:left="3032"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8" w15:restartNumberingAfterBreak="0">
    <w:nsid w:val="594F6FEB"/>
    <w:multiLevelType w:val="hybridMultilevel"/>
    <w:tmpl w:val="7EC26D9C"/>
    <w:lvl w:ilvl="0" w:tplc="FFFFFFFF">
      <w:start w:val="1"/>
      <w:numFmt w:val="upperRoman"/>
      <w:lvlText w:val="%1."/>
      <w:lvlJc w:val="left"/>
      <w:pPr>
        <w:ind w:left="2323" w:hanging="480"/>
      </w:pPr>
    </w:lvl>
    <w:lvl w:ilvl="1" w:tplc="FFFFFFFF" w:tentative="1">
      <w:start w:val="1"/>
      <w:numFmt w:val="ideographTraditional"/>
      <w:lvlText w:val="%2、"/>
      <w:lvlJc w:val="left"/>
      <w:pPr>
        <w:ind w:left="2803" w:hanging="480"/>
      </w:pPr>
    </w:lvl>
    <w:lvl w:ilvl="2" w:tplc="FFFFFFFF" w:tentative="1">
      <w:start w:val="1"/>
      <w:numFmt w:val="lowerRoman"/>
      <w:lvlText w:val="%3."/>
      <w:lvlJc w:val="right"/>
      <w:pPr>
        <w:ind w:left="3283" w:hanging="480"/>
      </w:pPr>
    </w:lvl>
    <w:lvl w:ilvl="3" w:tplc="FFFFFFFF" w:tentative="1">
      <w:start w:val="1"/>
      <w:numFmt w:val="decimal"/>
      <w:lvlText w:val="%4."/>
      <w:lvlJc w:val="left"/>
      <w:pPr>
        <w:ind w:left="3763" w:hanging="480"/>
      </w:pPr>
    </w:lvl>
    <w:lvl w:ilvl="4" w:tplc="FFFFFFFF" w:tentative="1">
      <w:start w:val="1"/>
      <w:numFmt w:val="ideographTraditional"/>
      <w:lvlText w:val="%5、"/>
      <w:lvlJc w:val="left"/>
      <w:pPr>
        <w:ind w:left="4243" w:hanging="480"/>
      </w:pPr>
    </w:lvl>
    <w:lvl w:ilvl="5" w:tplc="FFFFFFFF" w:tentative="1">
      <w:start w:val="1"/>
      <w:numFmt w:val="lowerRoman"/>
      <w:lvlText w:val="%6."/>
      <w:lvlJc w:val="right"/>
      <w:pPr>
        <w:ind w:left="4723" w:hanging="480"/>
      </w:pPr>
    </w:lvl>
    <w:lvl w:ilvl="6" w:tplc="FFFFFFFF" w:tentative="1">
      <w:start w:val="1"/>
      <w:numFmt w:val="decimal"/>
      <w:lvlText w:val="%7."/>
      <w:lvlJc w:val="left"/>
      <w:pPr>
        <w:ind w:left="5203" w:hanging="480"/>
      </w:pPr>
    </w:lvl>
    <w:lvl w:ilvl="7" w:tplc="FFFFFFFF" w:tentative="1">
      <w:start w:val="1"/>
      <w:numFmt w:val="ideographTraditional"/>
      <w:lvlText w:val="%8、"/>
      <w:lvlJc w:val="left"/>
      <w:pPr>
        <w:ind w:left="5683" w:hanging="480"/>
      </w:pPr>
    </w:lvl>
    <w:lvl w:ilvl="8" w:tplc="FFFFFFFF" w:tentative="1">
      <w:start w:val="1"/>
      <w:numFmt w:val="lowerRoman"/>
      <w:lvlText w:val="%9."/>
      <w:lvlJc w:val="right"/>
      <w:pPr>
        <w:ind w:left="6163" w:hanging="480"/>
      </w:pPr>
    </w:lvl>
  </w:abstractNum>
  <w:abstractNum w:abstractNumId="9" w15:restartNumberingAfterBreak="0">
    <w:nsid w:val="5DEA2040"/>
    <w:multiLevelType w:val="hybridMultilevel"/>
    <w:tmpl w:val="05922026"/>
    <w:lvl w:ilvl="0" w:tplc="7BFAB096">
      <w:start w:val="1"/>
      <w:numFmt w:val="taiwaneseCountingThousand"/>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0" w15:restartNumberingAfterBreak="0">
    <w:nsid w:val="64EF6310"/>
    <w:multiLevelType w:val="hybridMultilevel"/>
    <w:tmpl w:val="640A34AC"/>
    <w:lvl w:ilvl="0" w:tplc="94BEABCC">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695E1799"/>
    <w:multiLevelType w:val="hybridMultilevel"/>
    <w:tmpl w:val="7EC26D9C"/>
    <w:lvl w:ilvl="0" w:tplc="04090013">
      <w:start w:val="1"/>
      <w:numFmt w:val="upperRoman"/>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num w:numId="1">
    <w:abstractNumId w:val="10"/>
  </w:num>
  <w:num w:numId="2">
    <w:abstractNumId w:val="6"/>
  </w:num>
  <w:num w:numId="3">
    <w:abstractNumId w:val="3"/>
  </w:num>
  <w:num w:numId="4">
    <w:abstractNumId w:val="9"/>
  </w:num>
  <w:num w:numId="5">
    <w:abstractNumId w:val="0"/>
  </w:num>
  <w:num w:numId="6">
    <w:abstractNumId w:val="4"/>
  </w:num>
  <w:num w:numId="7">
    <w:abstractNumId w:val="11"/>
  </w:num>
  <w:num w:numId="8">
    <w:abstractNumId w:val="1"/>
  </w:num>
  <w:num w:numId="9">
    <w:abstractNumId w:val="5"/>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A7B"/>
    <w:rsid w:val="00000833"/>
    <w:rsid w:val="00065095"/>
    <w:rsid w:val="00071AD8"/>
    <w:rsid w:val="00074B48"/>
    <w:rsid w:val="00083F79"/>
    <w:rsid w:val="00086814"/>
    <w:rsid w:val="00090469"/>
    <w:rsid w:val="00096407"/>
    <w:rsid w:val="00102F90"/>
    <w:rsid w:val="00104470"/>
    <w:rsid w:val="00153231"/>
    <w:rsid w:val="001721B7"/>
    <w:rsid w:val="001C0393"/>
    <w:rsid w:val="001D588E"/>
    <w:rsid w:val="00207589"/>
    <w:rsid w:val="00226D7C"/>
    <w:rsid w:val="00234D2C"/>
    <w:rsid w:val="00244D70"/>
    <w:rsid w:val="0025169E"/>
    <w:rsid w:val="00257372"/>
    <w:rsid w:val="00257DF9"/>
    <w:rsid w:val="002625D0"/>
    <w:rsid w:val="0029056F"/>
    <w:rsid w:val="002B3306"/>
    <w:rsid w:val="002F3462"/>
    <w:rsid w:val="00307EA0"/>
    <w:rsid w:val="00376A7B"/>
    <w:rsid w:val="003805B4"/>
    <w:rsid w:val="003871BD"/>
    <w:rsid w:val="00390D59"/>
    <w:rsid w:val="003A5BB2"/>
    <w:rsid w:val="003B000B"/>
    <w:rsid w:val="003B0EBB"/>
    <w:rsid w:val="003B3B8E"/>
    <w:rsid w:val="003E6A91"/>
    <w:rsid w:val="003F0C95"/>
    <w:rsid w:val="003F6232"/>
    <w:rsid w:val="0040752B"/>
    <w:rsid w:val="00413E9F"/>
    <w:rsid w:val="0041568A"/>
    <w:rsid w:val="00416A94"/>
    <w:rsid w:val="00425540"/>
    <w:rsid w:val="0043042F"/>
    <w:rsid w:val="00442001"/>
    <w:rsid w:val="004631FC"/>
    <w:rsid w:val="004A719A"/>
    <w:rsid w:val="004B190A"/>
    <w:rsid w:val="005057D4"/>
    <w:rsid w:val="00516836"/>
    <w:rsid w:val="00547473"/>
    <w:rsid w:val="005A6F81"/>
    <w:rsid w:val="005E252A"/>
    <w:rsid w:val="0064395D"/>
    <w:rsid w:val="00651029"/>
    <w:rsid w:val="006534BA"/>
    <w:rsid w:val="0065578C"/>
    <w:rsid w:val="00665739"/>
    <w:rsid w:val="0066714E"/>
    <w:rsid w:val="006B1B87"/>
    <w:rsid w:val="006F76FF"/>
    <w:rsid w:val="007701FB"/>
    <w:rsid w:val="0077756C"/>
    <w:rsid w:val="007E0120"/>
    <w:rsid w:val="007F3F41"/>
    <w:rsid w:val="008253DB"/>
    <w:rsid w:val="008303C4"/>
    <w:rsid w:val="00844A6D"/>
    <w:rsid w:val="00847677"/>
    <w:rsid w:val="00877897"/>
    <w:rsid w:val="008A571D"/>
    <w:rsid w:val="008C7C1A"/>
    <w:rsid w:val="008D16B7"/>
    <w:rsid w:val="008F5D88"/>
    <w:rsid w:val="009069DC"/>
    <w:rsid w:val="009316B4"/>
    <w:rsid w:val="009823D6"/>
    <w:rsid w:val="00993B3F"/>
    <w:rsid w:val="009A2855"/>
    <w:rsid w:val="009C603A"/>
    <w:rsid w:val="009D37BC"/>
    <w:rsid w:val="009E191B"/>
    <w:rsid w:val="00A173F9"/>
    <w:rsid w:val="00A25E13"/>
    <w:rsid w:val="00A41E41"/>
    <w:rsid w:val="00A56A49"/>
    <w:rsid w:val="00A805F0"/>
    <w:rsid w:val="00AE442B"/>
    <w:rsid w:val="00AE79D6"/>
    <w:rsid w:val="00B14D5C"/>
    <w:rsid w:val="00B2045E"/>
    <w:rsid w:val="00B21D20"/>
    <w:rsid w:val="00B55C37"/>
    <w:rsid w:val="00B56C07"/>
    <w:rsid w:val="00B80CE6"/>
    <w:rsid w:val="00B90EA2"/>
    <w:rsid w:val="00BA50FC"/>
    <w:rsid w:val="00BB2DF2"/>
    <w:rsid w:val="00BD6BC7"/>
    <w:rsid w:val="00C1544F"/>
    <w:rsid w:val="00C1705B"/>
    <w:rsid w:val="00C37642"/>
    <w:rsid w:val="00C64536"/>
    <w:rsid w:val="00C779D8"/>
    <w:rsid w:val="00C832BD"/>
    <w:rsid w:val="00C97E5B"/>
    <w:rsid w:val="00CB2332"/>
    <w:rsid w:val="00CE0A8A"/>
    <w:rsid w:val="00CF3FA6"/>
    <w:rsid w:val="00D02AB0"/>
    <w:rsid w:val="00D02F14"/>
    <w:rsid w:val="00D12F15"/>
    <w:rsid w:val="00D2750D"/>
    <w:rsid w:val="00D5161A"/>
    <w:rsid w:val="00D77996"/>
    <w:rsid w:val="00DE5255"/>
    <w:rsid w:val="00E36128"/>
    <w:rsid w:val="00E53193"/>
    <w:rsid w:val="00E5768E"/>
    <w:rsid w:val="00E97E39"/>
    <w:rsid w:val="00EA54A3"/>
    <w:rsid w:val="00EB1FEE"/>
    <w:rsid w:val="00EB7248"/>
    <w:rsid w:val="00EC1B76"/>
    <w:rsid w:val="00ED151F"/>
    <w:rsid w:val="00F272C6"/>
    <w:rsid w:val="00F61D37"/>
    <w:rsid w:val="00F62050"/>
    <w:rsid w:val="00F80CF8"/>
    <w:rsid w:val="00F84714"/>
    <w:rsid w:val="00FA2C4D"/>
    <w:rsid w:val="00FC3688"/>
    <w:rsid w:val="00FF4F51"/>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21854"/>
  <w15:docId w15:val="{89ED6379-45FC-CD4D-AD0F-203196C4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ind w:right="-1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318"/>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C64536"/>
    <w:rPr>
      <w:sz w:val="16"/>
      <w:szCs w:val="16"/>
    </w:rPr>
  </w:style>
  <w:style w:type="paragraph" w:styleId="a6">
    <w:name w:val="annotation text"/>
    <w:basedOn w:val="a"/>
    <w:link w:val="a7"/>
    <w:uiPriority w:val="99"/>
    <w:unhideWhenUsed/>
    <w:rsid w:val="00C64536"/>
    <w:rPr>
      <w:sz w:val="20"/>
      <w:szCs w:val="20"/>
    </w:rPr>
  </w:style>
  <w:style w:type="character" w:customStyle="1" w:styleId="a7">
    <w:name w:val="註解文字 字元"/>
    <w:basedOn w:val="a0"/>
    <w:link w:val="a6"/>
    <w:uiPriority w:val="99"/>
    <w:rsid w:val="00C64536"/>
    <w:rPr>
      <w:rFonts w:ascii="標楷體" w:eastAsia="標楷體" w:hAnsi="標楷體" w:cs="標楷體"/>
      <w:sz w:val="20"/>
      <w:szCs w:val="20"/>
    </w:rPr>
  </w:style>
  <w:style w:type="paragraph" w:styleId="a8">
    <w:name w:val="annotation subject"/>
    <w:basedOn w:val="a6"/>
    <w:next w:val="a6"/>
    <w:link w:val="a9"/>
    <w:uiPriority w:val="99"/>
    <w:semiHidden/>
    <w:unhideWhenUsed/>
    <w:rsid w:val="00C64536"/>
    <w:rPr>
      <w:b/>
      <w:bCs/>
    </w:rPr>
  </w:style>
  <w:style w:type="character" w:customStyle="1" w:styleId="a9">
    <w:name w:val="註解主旨 字元"/>
    <w:basedOn w:val="a7"/>
    <w:link w:val="a8"/>
    <w:uiPriority w:val="99"/>
    <w:semiHidden/>
    <w:rsid w:val="00C64536"/>
    <w:rPr>
      <w:rFonts w:ascii="標楷體" w:eastAsia="標楷體" w:hAnsi="標楷體" w:cs="標楷體"/>
      <w:b/>
      <w:bCs/>
      <w:sz w:val="20"/>
      <w:szCs w:val="20"/>
    </w:rPr>
  </w:style>
  <w:style w:type="paragraph" w:styleId="aa">
    <w:name w:val="header"/>
    <w:basedOn w:val="a"/>
    <w:link w:val="ab"/>
    <w:uiPriority w:val="99"/>
    <w:unhideWhenUsed/>
    <w:rsid w:val="00993B3F"/>
    <w:pPr>
      <w:tabs>
        <w:tab w:val="center" w:pos="4680"/>
        <w:tab w:val="right" w:pos="9360"/>
      </w:tabs>
    </w:pPr>
  </w:style>
  <w:style w:type="character" w:customStyle="1" w:styleId="ab">
    <w:name w:val="頁首 字元"/>
    <w:basedOn w:val="a0"/>
    <w:link w:val="aa"/>
    <w:uiPriority w:val="99"/>
    <w:rsid w:val="00993B3F"/>
    <w:rPr>
      <w:rFonts w:ascii="標楷體" w:eastAsia="標楷體" w:hAnsi="標楷體" w:cs="標楷體"/>
    </w:rPr>
  </w:style>
  <w:style w:type="paragraph" w:styleId="ac">
    <w:name w:val="footer"/>
    <w:basedOn w:val="a"/>
    <w:link w:val="ad"/>
    <w:uiPriority w:val="99"/>
    <w:unhideWhenUsed/>
    <w:rsid w:val="00993B3F"/>
    <w:pPr>
      <w:tabs>
        <w:tab w:val="center" w:pos="4680"/>
        <w:tab w:val="right" w:pos="9360"/>
      </w:tabs>
    </w:pPr>
  </w:style>
  <w:style w:type="character" w:customStyle="1" w:styleId="ad">
    <w:name w:val="頁尾 字元"/>
    <w:basedOn w:val="a0"/>
    <w:link w:val="ac"/>
    <w:uiPriority w:val="99"/>
    <w:rsid w:val="00993B3F"/>
    <w:rPr>
      <w:rFonts w:ascii="標楷體" w:eastAsia="標楷體" w:hAnsi="標楷體" w:cs="標楷體"/>
    </w:rPr>
  </w:style>
  <w:style w:type="paragraph" w:styleId="ae">
    <w:name w:val="Revision"/>
    <w:hidden/>
    <w:uiPriority w:val="99"/>
    <w:semiHidden/>
    <w:rsid w:val="00B90EA2"/>
    <w:pPr>
      <w:widowControl/>
      <w:autoSpaceDE/>
      <w:autoSpaceDN/>
    </w:pPr>
    <w:rPr>
      <w:rFonts w:ascii="標楷體" w:eastAsia="標楷體" w:hAnsi="標楷體" w:cs="標楷體"/>
    </w:rPr>
  </w:style>
  <w:style w:type="paragraph" w:styleId="af">
    <w:name w:val="Balloon Text"/>
    <w:basedOn w:val="a"/>
    <w:link w:val="af0"/>
    <w:uiPriority w:val="99"/>
    <w:semiHidden/>
    <w:unhideWhenUsed/>
    <w:rsid w:val="00F61D3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F61D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05E1F-DCD6-4503-B61C-E0CABAF9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- 90紀錄-人事室 (2).docx</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- 90紀錄-人事室 (2).docx</dc:title>
  <dc:creator>USER</dc:creator>
  <cp:lastModifiedBy>(Edit_PR Leader) Ann Lai</cp:lastModifiedBy>
  <cp:revision>18</cp:revision>
  <dcterms:created xsi:type="dcterms:W3CDTF">2024-07-16T09:08:00Z</dcterms:created>
  <dcterms:modified xsi:type="dcterms:W3CDTF">2025-11-04T00:53:00Z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2020-11-01T00:00:00Z</vt:filetime>
  </property>
  <property fmtid="{D5CDD505-2E9C-101B-9397-08002B2CF9AE}" pid="3" name="Creator">
    <vt:lpwstr>PScript5.dll Version 5.2.2</vt:lpwstr>
  </property>
  <property fmtid="{D5CDD505-2E9C-101B-9397-08002B2CF9AE}" pid="4" name="LastSaved">
    <vt:filetime>2023-09-01T00:00:00Z</vt:filetime>
  </property>
</Properties>
</file>